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E1509" w14:textId="77777777" w:rsidR="00071818" w:rsidRPr="003B3E95" w:rsidRDefault="00071818" w:rsidP="00A7078D">
      <w:pPr>
        <w:spacing w:after="0" w:line="240" w:lineRule="auto"/>
        <w:jc w:val="both"/>
        <w:rPr>
          <w:rFonts w:ascii="Arial" w:hAnsi="Arial" w:cs="Arial"/>
          <w:sz w:val="24"/>
          <w:szCs w:val="24"/>
        </w:rPr>
      </w:pPr>
    </w:p>
    <w:p w14:paraId="37D9E1DE" w14:textId="5D80D18A" w:rsidR="00F94934" w:rsidRPr="003B3E95" w:rsidRDefault="74E2F02B" w:rsidP="009C1DAB">
      <w:pPr>
        <w:pStyle w:val="Ttulo2"/>
        <w:numPr>
          <w:ilvl w:val="0"/>
          <w:numId w:val="0"/>
        </w:numPr>
        <w:spacing w:before="0" w:line="240" w:lineRule="auto"/>
        <w:ind w:left="576" w:hanging="576"/>
        <w:jc w:val="both"/>
        <w:rPr>
          <w:rFonts w:ascii="Arial" w:hAnsi="Arial" w:cs="Arial"/>
          <w:b/>
          <w:bCs/>
          <w:color w:val="auto"/>
          <w:sz w:val="24"/>
          <w:szCs w:val="24"/>
        </w:rPr>
      </w:pPr>
      <w:bookmarkStart w:id="0" w:name="_Toc144728560"/>
      <w:bookmarkStart w:id="1" w:name="_Toc1289336069"/>
      <w:r w:rsidRPr="003B3E95">
        <w:rPr>
          <w:rFonts w:ascii="Arial" w:hAnsi="Arial" w:cs="Arial"/>
          <w:b/>
          <w:bCs/>
          <w:color w:val="auto"/>
          <w:sz w:val="24"/>
          <w:szCs w:val="24"/>
        </w:rPr>
        <w:t xml:space="preserve">Componente de </w:t>
      </w:r>
      <w:r w:rsidR="00830589" w:rsidRPr="003B3E95">
        <w:rPr>
          <w:rFonts w:ascii="Arial" w:hAnsi="Arial" w:cs="Arial"/>
          <w:b/>
          <w:bCs/>
          <w:color w:val="auto"/>
          <w:sz w:val="24"/>
          <w:szCs w:val="24"/>
        </w:rPr>
        <w:t>A</w:t>
      </w:r>
      <w:r w:rsidRPr="003B3E95">
        <w:rPr>
          <w:rFonts w:ascii="Arial" w:hAnsi="Arial" w:cs="Arial"/>
          <w:b/>
          <w:bCs/>
          <w:color w:val="auto"/>
          <w:sz w:val="24"/>
          <w:szCs w:val="24"/>
        </w:rPr>
        <w:t xml:space="preserve">uditoría </w:t>
      </w:r>
      <w:r w:rsidR="65349488" w:rsidRPr="003B3E95">
        <w:rPr>
          <w:rFonts w:ascii="Arial" w:hAnsi="Arial" w:cs="Arial"/>
          <w:b/>
          <w:bCs/>
          <w:color w:val="auto"/>
          <w:sz w:val="24"/>
          <w:szCs w:val="24"/>
        </w:rPr>
        <w:t>M</w:t>
      </w:r>
      <w:r w:rsidRPr="003B3E95">
        <w:rPr>
          <w:rFonts w:ascii="Arial" w:hAnsi="Arial" w:cs="Arial"/>
          <w:b/>
          <w:bCs/>
          <w:color w:val="auto"/>
          <w:sz w:val="24"/>
          <w:szCs w:val="24"/>
        </w:rPr>
        <w:t>édica concurrente</w:t>
      </w:r>
      <w:bookmarkEnd w:id="0"/>
      <w:bookmarkEnd w:id="1"/>
    </w:p>
    <w:p w14:paraId="75F1F376" w14:textId="3407318C" w:rsidR="00AD692E" w:rsidRPr="003B3E95" w:rsidRDefault="00AD692E" w:rsidP="00A7078D">
      <w:pPr>
        <w:spacing w:after="0" w:line="240" w:lineRule="auto"/>
        <w:jc w:val="both"/>
        <w:rPr>
          <w:rFonts w:ascii="Arial" w:hAnsi="Arial" w:cs="Arial"/>
          <w:sz w:val="24"/>
          <w:szCs w:val="24"/>
        </w:rPr>
      </w:pPr>
      <w:r w:rsidRPr="003B3E95">
        <w:rPr>
          <w:rFonts w:ascii="Arial" w:hAnsi="Arial" w:cs="Arial"/>
          <w:sz w:val="24"/>
          <w:szCs w:val="24"/>
        </w:rPr>
        <w:t>De acuerdo a la Metodología planteada se encontró en los documentos asistenciales lo siguiente:</w:t>
      </w:r>
    </w:p>
    <w:p w14:paraId="4752F292" w14:textId="77777777" w:rsidR="00187774" w:rsidRPr="003B3E95" w:rsidRDefault="00187774" w:rsidP="00A7078D">
      <w:pPr>
        <w:pStyle w:val="Sinespaciado"/>
        <w:jc w:val="both"/>
        <w:rPr>
          <w:rFonts w:ascii="Arial" w:eastAsia="Arial" w:hAnsi="Arial" w:cs="Arial"/>
          <w:sz w:val="24"/>
          <w:szCs w:val="24"/>
        </w:rPr>
      </w:pPr>
    </w:p>
    <w:p w14:paraId="0A2427BB" w14:textId="7DB5ED06" w:rsidR="5E15098E" w:rsidRPr="003B3E95" w:rsidRDefault="3F623080" w:rsidP="00A7078D">
      <w:pPr>
        <w:pStyle w:val="Sinespaciado"/>
        <w:jc w:val="both"/>
        <w:rPr>
          <w:rFonts w:ascii="Arial" w:eastAsia="Arial" w:hAnsi="Arial" w:cs="Arial"/>
          <w:sz w:val="24"/>
          <w:szCs w:val="24"/>
        </w:rPr>
      </w:pPr>
      <w:r w:rsidRPr="003B3E95">
        <w:rPr>
          <w:rFonts w:ascii="Arial" w:eastAsia="Arial" w:hAnsi="Arial" w:cs="Arial"/>
          <w:sz w:val="24"/>
          <w:szCs w:val="24"/>
        </w:rPr>
        <w:t xml:space="preserve">Hallazgos </w:t>
      </w:r>
      <w:r w:rsidR="4FA874BB" w:rsidRPr="003B3E95">
        <w:rPr>
          <w:rFonts w:ascii="Arial" w:eastAsia="Arial" w:hAnsi="Arial" w:cs="Arial"/>
          <w:sz w:val="24"/>
          <w:szCs w:val="24"/>
        </w:rPr>
        <w:t xml:space="preserve">menores </w:t>
      </w:r>
      <w:r w:rsidR="5BFFEF25" w:rsidRPr="003B3E95">
        <w:rPr>
          <w:rFonts w:ascii="Arial" w:eastAsia="Arial" w:hAnsi="Arial" w:cs="Arial"/>
          <w:sz w:val="24"/>
          <w:szCs w:val="24"/>
        </w:rPr>
        <w:t>encontrad</w:t>
      </w:r>
      <w:r w:rsidR="2A345582" w:rsidRPr="003B3E95">
        <w:rPr>
          <w:rFonts w:ascii="Arial" w:eastAsia="Arial" w:hAnsi="Arial" w:cs="Arial"/>
          <w:sz w:val="24"/>
          <w:szCs w:val="24"/>
        </w:rPr>
        <w:t>o</w:t>
      </w:r>
      <w:r w:rsidR="5BFFEF25" w:rsidRPr="003B3E95">
        <w:rPr>
          <w:rFonts w:ascii="Arial" w:eastAsia="Arial" w:hAnsi="Arial" w:cs="Arial"/>
          <w:sz w:val="24"/>
          <w:szCs w:val="24"/>
        </w:rPr>
        <w:t>s en la auditor</w:t>
      </w:r>
      <w:r w:rsidR="2478DCDB" w:rsidRPr="003B3E95">
        <w:rPr>
          <w:rFonts w:ascii="Arial" w:eastAsia="Arial" w:hAnsi="Arial" w:cs="Arial"/>
          <w:sz w:val="24"/>
          <w:szCs w:val="24"/>
        </w:rPr>
        <w:t>í</w:t>
      </w:r>
      <w:r w:rsidR="5BFFEF25" w:rsidRPr="003B3E95">
        <w:rPr>
          <w:rFonts w:ascii="Arial" w:eastAsia="Arial" w:hAnsi="Arial" w:cs="Arial"/>
          <w:sz w:val="24"/>
          <w:szCs w:val="24"/>
        </w:rPr>
        <w:t>a concurrente</w:t>
      </w:r>
      <w:r w:rsidR="39864FBD" w:rsidRPr="003B3E95">
        <w:rPr>
          <w:rFonts w:ascii="Arial" w:eastAsia="Arial" w:hAnsi="Arial" w:cs="Arial"/>
          <w:sz w:val="24"/>
          <w:szCs w:val="24"/>
        </w:rPr>
        <w:t>:</w:t>
      </w:r>
    </w:p>
    <w:p w14:paraId="04E6A541" w14:textId="05AB7584" w:rsidR="0085010A" w:rsidRPr="003B3E95" w:rsidRDefault="00187774" w:rsidP="005C5ADC">
      <w:pPr>
        <w:pStyle w:val="Sinespaciado"/>
        <w:numPr>
          <w:ilvl w:val="0"/>
          <w:numId w:val="12"/>
        </w:numPr>
        <w:jc w:val="both"/>
        <w:rPr>
          <w:rFonts w:ascii="Arial" w:eastAsia="Arial" w:hAnsi="Arial" w:cs="Arial"/>
          <w:sz w:val="24"/>
          <w:szCs w:val="24"/>
        </w:rPr>
      </w:pPr>
      <w:r w:rsidRPr="003B3E95">
        <w:rPr>
          <w:rFonts w:ascii="Arial" w:eastAsia="Arial" w:hAnsi="Arial" w:cs="Arial"/>
          <w:sz w:val="24"/>
          <w:szCs w:val="24"/>
        </w:rPr>
        <w:t xml:space="preserve">Se evidencia </w:t>
      </w:r>
      <w:r w:rsidR="00012B65" w:rsidRPr="003B3E95">
        <w:rPr>
          <w:rFonts w:ascii="Arial" w:eastAsia="Arial" w:hAnsi="Arial" w:cs="Arial"/>
          <w:sz w:val="24"/>
          <w:szCs w:val="24"/>
        </w:rPr>
        <w:t xml:space="preserve">que las descripciones quirúrgicas </w:t>
      </w:r>
      <w:r w:rsidR="005C5F6C" w:rsidRPr="003B3E95">
        <w:rPr>
          <w:rFonts w:ascii="Arial" w:eastAsia="Arial" w:hAnsi="Arial" w:cs="Arial"/>
          <w:sz w:val="24"/>
          <w:szCs w:val="24"/>
        </w:rPr>
        <w:t>solo representan el procedimiento general realizado, sin ninguna expos</w:t>
      </w:r>
      <w:r w:rsidR="003B6F29" w:rsidRPr="003B3E95">
        <w:rPr>
          <w:rFonts w:ascii="Arial" w:eastAsia="Arial" w:hAnsi="Arial" w:cs="Arial"/>
          <w:sz w:val="24"/>
          <w:szCs w:val="24"/>
        </w:rPr>
        <w:t>ición de la técnica quirúrgica.</w:t>
      </w:r>
    </w:p>
    <w:p w14:paraId="3AD43C93" w14:textId="6BA0DA7C" w:rsidR="5E15098E" w:rsidRPr="003B3E95" w:rsidRDefault="0E3F7465" w:rsidP="00A7078D">
      <w:pPr>
        <w:pStyle w:val="Sinespaciado"/>
        <w:jc w:val="both"/>
        <w:rPr>
          <w:rFonts w:ascii="Arial" w:eastAsia="Arial" w:hAnsi="Arial" w:cs="Arial"/>
          <w:sz w:val="24"/>
          <w:szCs w:val="24"/>
        </w:rPr>
      </w:pPr>
      <w:r w:rsidRPr="003B3E95">
        <w:rPr>
          <w:rFonts w:ascii="Arial" w:eastAsia="Arial" w:hAnsi="Arial" w:cs="Arial"/>
          <w:sz w:val="24"/>
          <w:szCs w:val="24"/>
        </w:rPr>
        <w:t>Hallazgos</w:t>
      </w:r>
      <w:r w:rsidR="5BFFEF25" w:rsidRPr="003B3E95">
        <w:rPr>
          <w:rFonts w:ascii="Arial" w:eastAsia="Arial" w:hAnsi="Arial" w:cs="Arial"/>
          <w:sz w:val="24"/>
          <w:szCs w:val="24"/>
        </w:rPr>
        <w:t xml:space="preserve"> mayores encontrad</w:t>
      </w:r>
      <w:r w:rsidR="72BF750F" w:rsidRPr="003B3E95">
        <w:rPr>
          <w:rFonts w:ascii="Arial" w:eastAsia="Arial" w:hAnsi="Arial" w:cs="Arial"/>
          <w:sz w:val="24"/>
          <w:szCs w:val="24"/>
        </w:rPr>
        <w:t>o</w:t>
      </w:r>
      <w:r w:rsidR="5BFFEF25" w:rsidRPr="003B3E95">
        <w:rPr>
          <w:rFonts w:ascii="Arial" w:eastAsia="Arial" w:hAnsi="Arial" w:cs="Arial"/>
          <w:sz w:val="24"/>
          <w:szCs w:val="24"/>
        </w:rPr>
        <w:t>s en la auditor</w:t>
      </w:r>
      <w:r w:rsidR="710ED09F" w:rsidRPr="003B3E95">
        <w:rPr>
          <w:rFonts w:ascii="Arial" w:eastAsia="Arial" w:hAnsi="Arial" w:cs="Arial"/>
          <w:sz w:val="24"/>
          <w:szCs w:val="24"/>
        </w:rPr>
        <w:t>í</w:t>
      </w:r>
      <w:r w:rsidR="5BFFEF25" w:rsidRPr="003B3E95">
        <w:rPr>
          <w:rFonts w:ascii="Arial" w:eastAsia="Arial" w:hAnsi="Arial" w:cs="Arial"/>
          <w:sz w:val="24"/>
          <w:szCs w:val="24"/>
        </w:rPr>
        <w:t>a concurrente</w:t>
      </w:r>
      <w:r w:rsidR="74631567" w:rsidRPr="003B3E95">
        <w:rPr>
          <w:rFonts w:ascii="Arial" w:eastAsia="Arial" w:hAnsi="Arial" w:cs="Arial"/>
          <w:sz w:val="24"/>
          <w:szCs w:val="24"/>
        </w:rPr>
        <w:t>:</w:t>
      </w:r>
    </w:p>
    <w:p w14:paraId="33F49140" w14:textId="642564A5" w:rsidR="00187774" w:rsidRPr="003B3E95" w:rsidRDefault="00187774" w:rsidP="003B6F29">
      <w:pPr>
        <w:pStyle w:val="Sinespaciado"/>
        <w:numPr>
          <w:ilvl w:val="0"/>
          <w:numId w:val="14"/>
        </w:numPr>
        <w:jc w:val="both"/>
        <w:rPr>
          <w:rFonts w:ascii="Arial" w:eastAsia="Arial" w:hAnsi="Arial" w:cs="Arial"/>
          <w:sz w:val="24"/>
          <w:szCs w:val="24"/>
        </w:rPr>
      </w:pPr>
      <w:r w:rsidRPr="003B3E95">
        <w:rPr>
          <w:rFonts w:ascii="Arial" w:eastAsia="Arial" w:hAnsi="Arial" w:cs="Arial"/>
          <w:sz w:val="24"/>
          <w:szCs w:val="24"/>
        </w:rPr>
        <w:t>Se evidencia</w:t>
      </w:r>
      <w:r w:rsidR="006114DA" w:rsidRPr="003B3E95">
        <w:rPr>
          <w:rFonts w:ascii="Arial" w:eastAsia="Arial" w:hAnsi="Arial" w:cs="Arial"/>
          <w:sz w:val="24"/>
          <w:szCs w:val="24"/>
        </w:rPr>
        <w:t>n</w:t>
      </w:r>
      <w:r w:rsidRPr="003B3E95">
        <w:rPr>
          <w:rFonts w:ascii="Arial" w:eastAsia="Arial" w:hAnsi="Arial" w:cs="Arial"/>
          <w:sz w:val="24"/>
          <w:szCs w:val="24"/>
        </w:rPr>
        <w:t xml:space="preserve"> </w:t>
      </w:r>
      <w:r w:rsidR="005C5F6C" w:rsidRPr="003B3E95">
        <w:rPr>
          <w:rFonts w:ascii="Arial" w:eastAsia="Arial" w:hAnsi="Arial" w:cs="Arial"/>
          <w:sz w:val="24"/>
          <w:szCs w:val="24"/>
        </w:rPr>
        <w:t>estancias prolongadas por el tipo de lesiones presentadas</w:t>
      </w:r>
      <w:r w:rsidR="009C1DAB" w:rsidRPr="003B3E95">
        <w:rPr>
          <w:rFonts w:ascii="Arial" w:eastAsia="Arial" w:hAnsi="Arial" w:cs="Arial"/>
          <w:sz w:val="24"/>
          <w:szCs w:val="24"/>
        </w:rPr>
        <w:t>,</w:t>
      </w:r>
      <w:r w:rsidR="003B6F29" w:rsidRPr="003B3E95">
        <w:rPr>
          <w:rFonts w:ascii="Arial" w:eastAsia="Arial" w:hAnsi="Arial" w:cs="Arial"/>
          <w:sz w:val="24"/>
          <w:szCs w:val="24"/>
        </w:rPr>
        <w:t xml:space="preserve"> por el uso de </w:t>
      </w:r>
      <w:r w:rsidR="009C1DAB" w:rsidRPr="003B3E95">
        <w:rPr>
          <w:rFonts w:ascii="Arial" w:eastAsia="Arial" w:hAnsi="Arial" w:cs="Arial"/>
          <w:sz w:val="24"/>
          <w:szCs w:val="24"/>
        </w:rPr>
        <w:t>antibióticos de amplio espectro y falta de oportunidad con algunas especialidades.</w:t>
      </w:r>
      <w:r w:rsidR="003B6F29" w:rsidRPr="003B3E95">
        <w:rPr>
          <w:rFonts w:ascii="Arial" w:eastAsia="Arial" w:hAnsi="Arial" w:cs="Arial"/>
          <w:sz w:val="24"/>
          <w:szCs w:val="24"/>
        </w:rPr>
        <w:t xml:space="preserve"> </w:t>
      </w:r>
    </w:p>
    <w:p w14:paraId="38C1FD6D" w14:textId="77777777" w:rsidR="003B6F29" w:rsidRPr="003B3E95" w:rsidRDefault="003B6F29" w:rsidP="003B6F29">
      <w:pPr>
        <w:pStyle w:val="Sinespaciado"/>
        <w:ind w:left="720"/>
        <w:jc w:val="both"/>
        <w:rPr>
          <w:rFonts w:ascii="Arial" w:eastAsia="Arial" w:hAnsi="Arial" w:cs="Arial"/>
          <w:sz w:val="24"/>
          <w:szCs w:val="24"/>
        </w:rPr>
      </w:pPr>
    </w:p>
    <w:p w14:paraId="6E13EA57" w14:textId="6FB9DBC0" w:rsidR="00A7078D" w:rsidRPr="003B3E95" w:rsidRDefault="74E2F02B" w:rsidP="009C1DAB">
      <w:pPr>
        <w:pStyle w:val="Ttulo3"/>
        <w:numPr>
          <w:ilvl w:val="0"/>
          <w:numId w:val="0"/>
        </w:numPr>
        <w:spacing w:before="0" w:line="240" w:lineRule="auto"/>
        <w:jc w:val="both"/>
        <w:rPr>
          <w:rFonts w:ascii="Arial" w:hAnsi="Arial" w:cs="Arial"/>
          <w:b/>
          <w:bCs/>
          <w:color w:val="auto"/>
        </w:rPr>
      </w:pPr>
      <w:bookmarkStart w:id="2" w:name="_Toc1051411666"/>
      <w:bookmarkStart w:id="3" w:name="_Toc144728561"/>
      <w:r w:rsidRPr="003B3E95">
        <w:rPr>
          <w:rFonts w:ascii="Arial" w:hAnsi="Arial" w:cs="Arial"/>
          <w:b/>
          <w:bCs/>
          <w:color w:val="auto"/>
        </w:rPr>
        <w:t xml:space="preserve">Verificación de manual </w:t>
      </w:r>
      <w:r w:rsidR="3C123599" w:rsidRPr="003B3E95">
        <w:rPr>
          <w:rFonts w:ascii="Arial" w:hAnsi="Arial" w:cs="Arial"/>
          <w:b/>
          <w:bCs/>
          <w:color w:val="auto"/>
        </w:rPr>
        <w:t xml:space="preserve">o guía </w:t>
      </w:r>
      <w:r w:rsidRPr="003B3E95">
        <w:rPr>
          <w:rFonts w:ascii="Arial" w:hAnsi="Arial" w:cs="Arial"/>
          <w:b/>
          <w:bCs/>
          <w:color w:val="auto"/>
        </w:rPr>
        <w:t>de atención de accidentes de tránsito</w:t>
      </w:r>
      <w:r w:rsidR="009C1DAB" w:rsidRPr="003B3E95">
        <w:rPr>
          <w:rFonts w:ascii="Arial" w:hAnsi="Arial" w:cs="Arial"/>
          <w:b/>
          <w:bCs/>
          <w:color w:val="auto"/>
        </w:rPr>
        <w:t xml:space="preserve">, eventos catastróficos de </w:t>
      </w:r>
      <w:r w:rsidR="0EC62175" w:rsidRPr="003B3E95">
        <w:rPr>
          <w:rFonts w:ascii="Arial" w:hAnsi="Arial" w:cs="Arial"/>
          <w:b/>
          <w:bCs/>
          <w:color w:val="auto"/>
        </w:rPr>
        <w:t>origen natural y eventos terroristas</w:t>
      </w:r>
      <w:bookmarkEnd w:id="2"/>
      <w:r w:rsidR="00A7078D" w:rsidRPr="003B3E95">
        <w:rPr>
          <w:rFonts w:ascii="Arial" w:hAnsi="Arial" w:cs="Arial"/>
          <w:b/>
          <w:bCs/>
          <w:color w:val="auto"/>
        </w:rPr>
        <w:t>.</w:t>
      </w:r>
    </w:p>
    <w:p w14:paraId="4FAB70E2" w14:textId="77777777" w:rsidR="003B6F29" w:rsidRPr="003B3E95" w:rsidRDefault="003B6F29" w:rsidP="003B6F29">
      <w:pPr>
        <w:pStyle w:val="Ttulo3"/>
        <w:numPr>
          <w:ilvl w:val="0"/>
          <w:numId w:val="0"/>
        </w:numPr>
        <w:spacing w:before="0" w:line="240" w:lineRule="auto"/>
        <w:jc w:val="both"/>
        <w:rPr>
          <w:rFonts w:ascii="Arial" w:hAnsi="Arial" w:cs="Arial"/>
          <w:b/>
          <w:bCs/>
          <w:color w:val="auto"/>
        </w:rPr>
      </w:pPr>
    </w:p>
    <w:p w14:paraId="0277FEEE" w14:textId="12A8EC73" w:rsidR="009C1DAB" w:rsidRPr="003B3E95" w:rsidRDefault="003B6F29" w:rsidP="009C1DAB">
      <w:pPr>
        <w:pStyle w:val="Ttulo3"/>
        <w:numPr>
          <w:ilvl w:val="0"/>
          <w:numId w:val="0"/>
        </w:numPr>
        <w:spacing w:before="0" w:line="240" w:lineRule="auto"/>
        <w:jc w:val="both"/>
        <w:rPr>
          <w:rFonts w:ascii="Arial" w:hAnsi="Arial" w:cs="Arial"/>
          <w:color w:val="auto"/>
          <w:lang w:val="es-ES"/>
        </w:rPr>
      </w:pPr>
      <w:r w:rsidRPr="003B3E95">
        <w:rPr>
          <w:rFonts w:ascii="Arial" w:hAnsi="Arial" w:cs="Arial"/>
          <w:bCs/>
          <w:color w:val="auto"/>
        </w:rPr>
        <w:t xml:space="preserve">Se realiza verificación de tres documentos </w:t>
      </w:r>
      <w:r w:rsidRPr="003B3E95">
        <w:rPr>
          <w:rFonts w:ascii="Arial" w:hAnsi="Arial" w:cs="Arial"/>
          <w:color w:val="auto"/>
          <w:lang w:val="es-ES"/>
        </w:rPr>
        <w:t>relacionados con la atención de las víc</w:t>
      </w:r>
      <w:r w:rsidR="009C1DAB" w:rsidRPr="003B3E95">
        <w:rPr>
          <w:rFonts w:ascii="Arial" w:hAnsi="Arial" w:cs="Arial"/>
          <w:color w:val="auto"/>
          <w:lang w:val="es-ES"/>
        </w:rPr>
        <w:t>timas de accidentes de tránsito</w:t>
      </w:r>
      <w:r w:rsidRPr="003B3E95">
        <w:rPr>
          <w:rFonts w:ascii="Arial" w:hAnsi="Arial" w:cs="Arial"/>
          <w:color w:val="auto"/>
          <w:lang w:val="es-ES"/>
        </w:rPr>
        <w:t xml:space="preserve"> </w:t>
      </w:r>
      <w:r w:rsidR="009C1DAB" w:rsidRPr="003B3E95">
        <w:rPr>
          <w:rFonts w:ascii="Arial" w:hAnsi="Arial" w:cs="Arial"/>
          <w:color w:val="auto"/>
          <w:lang w:val="es-ES"/>
        </w:rPr>
        <w:t>así: a. Procedimiento para la gestión en la atención de accidentes de tránsitos código: FAC-PD-01, versión: 01, fecha: 14/09/2023, página: 1 de 7; b. Instructivo de proceso de admisión de usuario</w:t>
      </w:r>
    </w:p>
    <w:p w14:paraId="5C8B5C1C" w14:textId="66AC172E" w:rsidR="003B6F29" w:rsidRPr="003B3E95" w:rsidRDefault="009C1DAB" w:rsidP="003B6F29">
      <w:pPr>
        <w:pStyle w:val="Ttulo3"/>
        <w:numPr>
          <w:ilvl w:val="0"/>
          <w:numId w:val="0"/>
        </w:numPr>
        <w:spacing w:before="0" w:line="240" w:lineRule="auto"/>
        <w:jc w:val="both"/>
        <w:rPr>
          <w:rFonts w:ascii="Arial" w:hAnsi="Arial" w:cs="Arial"/>
          <w:color w:val="auto"/>
          <w:lang w:val="es-ES"/>
        </w:rPr>
      </w:pPr>
      <w:r w:rsidRPr="003B3E95">
        <w:rPr>
          <w:rFonts w:ascii="Arial" w:hAnsi="Arial" w:cs="Arial"/>
          <w:color w:val="auto"/>
          <w:lang w:val="es-ES"/>
        </w:rPr>
        <w:t xml:space="preserve">CÓDIGO: FAC-IN-02, versión:03, fecha: 26-abril-2023, página: 1 de 8 y c. </w:t>
      </w:r>
      <w:r w:rsidR="009F33BD" w:rsidRPr="003B3E95">
        <w:rPr>
          <w:rFonts w:ascii="Arial" w:hAnsi="Arial" w:cs="Arial"/>
          <w:color w:val="auto"/>
          <w:lang w:val="es-ES"/>
        </w:rPr>
        <w:t>Declaración de accidente de tránsito CÓDIGO: FAC-FO-02, versión: 01, fecha: 10/08/2023, página: 1 de 2, estos documentos están socializados, se realiza adherencia y evaluación</w:t>
      </w:r>
      <w:bookmarkEnd w:id="3"/>
      <w:r w:rsidR="00DC2050" w:rsidRPr="003B3E95">
        <w:rPr>
          <w:rFonts w:ascii="Arial" w:hAnsi="Arial" w:cs="Arial"/>
          <w:color w:val="auto"/>
          <w:lang w:val="es-ES"/>
        </w:rPr>
        <w:t>, para eventos catastróficos y terroristas no hay documento realizado se maneja de acue</w:t>
      </w:r>
      <w:r w:rsidR="005477A7" w:rsidRPr="003B3E95">
        <w:rPr>
          <w:rFonts w:ascii="Arial" w:hAnsi="Arial" w:cs="Arial"/>
          <w:color w:val="auto"/>
          <w:lang w:val="es-ES"/>
        </w:rPr>
        <w:t>rdo a la morbilidad presentada.</w:t>
      </w:r>
    </w:p>
    <w:p w14:paraId="4C13EB63" w14:textId="77777777" w:rsidR="003B6F29" w:rsidRPr="003B3E95" w:rsidRDefault="003B6F29" w:rsidP="007547E2">
      <w:pPr>
        <w:spacing w:after="0" w:line="240" w:lineRule="auto"/>
        <w:jc w:val="both"/>
        <w:rPr>
          <w:rFonts w:ascii="Arial" w:hAnsi="Arial" w:cs="Arial"/>
          <w:sz w:val="24"/>
          <w:szCs w:val="24"/>
          <w:lang w:val="es-ES"/>
        </w:rPr>
      </w:pPr>
    </w:p>
    <w:p w14:paraId="151DBF14" w14:textId="70D16BC6" w:rsidR="00781FBF" w:rsidRPr="003B3E95" w:rsidRDefault="22A4A3C7" w:rsidP="00DC2050">
      <w:pPr>
        <w:pStyle w:val="Ttulo3"/>
        <w:numPr>
          <w:ilvl w:val="0"/>
          <w:numId w:val="0"/>
        </w:numPr>
        <w:spacing w:before="0" w:line="240" w:lineRule="auto"/>
        <w:jc w:val="both"/>
        <w:rPr>
          <w:rStyle w:val="normaltextrun"/>
          <w:rFonts w:ascii="Arial" w:hAnsi="Arial" w:cs="Arial"/>
          <w:b/>
          <w:bCs/>
          <w:color w:val="auto"/>
          <w:shd w:val="clear" w:color="auto" w:fill="FFFFFF"/>
        </w:rPr>
      </w:pPr>
      <w:bookmarkStart w:id="4" w:name="_Toc144728562"/>
      <w:bookmarkStart w:id="5" w:name="_Toc509327718"/>
      <w:r w:rsidRPr="003B3E95">
        <w:rPr>
          <w:rStyle w:val="normaltextrun"/>
          <w:rFonts w:ascii="Arial" w:hAnsi="Arial" w:cs="Arial"/>
          <w:b/>
          <w:bCs/>
          <w:color w:val="auto"/>
          <w:shd w:val="clear" w:color="auto" w:fill="FFFFFF"/>
        </w:rPr>
        <w:t>Verificación de requisitos para la prestación de servicios de salud de los pacientes con cargo a la ADRES</w:t>
      </w:r>
      <w:bookmarkEnd w:id="4"/>
      <w:bookmarkEnd w:id="5"/>
    </w:p>
    <w:p w14:paraId="45C90060" w14:textId="77777777" w:rsidR="00A7078D" w:rsidRPr="003B3E95" w:rsidRDefault="00A7078D" w:rsidP="00A7078D">
      <w:pPr>
        <w:pStyle w:val="Default"/>
        <w:jc w:val="both"/>
        <w:rPr>
          <w:rFonts w:ascii="Arial" w:hAnsi="Arial" w:cs="Arial"/>
          <w:color w:val="auto"/>
          <w:lang w:val="es-ES"/>
        </w:rPr>
      </w:pPr>
    </w:p>
    <w:p w14:paraId="5A7C174D" w14:textId="0621F569" w:rsidR="00D060ED" w:rsidRPr="003B3E95" w:rsidRDefault="00FA0934" w:rsidP="00A7078D">
      <w:pPr>
        <w:pStyle w:val="Default"/>
        <w:jc w:val="both"/>
        <w:rPr>
          <w:rFonts w:ascii="Arial" w:eastAsia="Arial" w:hAnsi="Arial" w:cs="Arial"/>
          <w:color w:val="auto"/>
          <w:lang w:val="es-ES"/>
        </w:rPr>
      </w:pPr>
      <w:r w:rsidRPr="003B3E95">
        <w:rPr>
          <w:rFonts w:ascii="Arial" w:hAnsi="Arial" w:cs="Arial"/>
          <w:color w:val="auto"/>
          <w:lang w:val="es-ES"/>
        </w:rPr>
        <w:t xml:space="preserve">Portafolio de Servicios: </w:t>
      </w:r>
      <w:r w:rsidR="00A7078D" w:rsidRPr="003B3E95">
        <w:rPr>
          <w:rFonts w:ascii="Arial" w:hAnsi="Arial" w:cs="Arial"/>
          <w:color w:val="auto"/>
          <w:lang w:val="es-ES"/>
        </w:rPr>
        <w:t xml:space="preserve">Dentro del proceso de auditoría de campo la institución realiza una presentación de su portafolio de servicios </w:t>
      </w:r>
      <w:r w:rsidR="000F42E2" w:rsidRPr="003B3E95">
        <w:rPr>
          <w:rFonts w:ascii="Arial" w:hAnsi="Arial" w:cs="Arial"/>
          <w:color w:val="auto"/>
          <w:lang w:val="es-ES"/>
        </w:rPr>
        <w:t xml:space="preserve">donde </w:t>
      </w:r>
      <w:r w:rsidR="00A7078D" w:rsidRPr="003B3E95">
        <w:rPr>
          <w:rFonts w:ascii="Arial" w:hAnsi="Arial" w:cs="Arial"/>
          <w:color w:val="auto"/>
          <w:lang w:val="es-ES"/>
        </w:rPr>
        <w:t xml:space="preserve">se evidencia un documento </w:t>
      </w:r>
      <w:r w:rsidR="00D060ED" w:rsidRPr="003B3E95">
        <w:rPr>
          <w:rFonts w:ascii="Arial" w:hAnsi="Arial" w:cs="Arial"/>
          <w:color w:val="auto"/>
          <w:lang w:val="es-ES"/>
        </w:rPr>
        <w:t xml:space="preserve">de uso comercial </w:t>
      </w:r>
      <w:r w:rsidR="00EA6D56" w:rsidRPr="003B3E95">
        <w:rPr>
          <w:rFonts w:ascii="Arial" w:hAnsi="Arial" w:cs="Arial"/>
          <w:color w:val="auto"/>
          <w:lang w:val="es-ES"/>
        </w:rPr>
        <w:t xml:space="preserve">denominado </w:t>
      </w:r>
      <w:r w:rsidR="00664703" w:rsidRPr="003B3E95">
        <w:rPr>
          <w:rFonts w:ascii="Arial" w:hAnsi="Arial" w:cs="Arial"/>
          <w:color w:val="auto"/>
          <w:lang w:val="es-ES"/>
        </w:rPr>
        <w:t>Portafolio</w:t>
      </w:r>
      <w:r w:rsidR="00EA6D56" w:rsidRPr="003B3E95">
        <w:rPr>
          <w:rFonts w:ascii="Arial" w:eastAsia="Arial" w:hAnsi="Arial" w:cs="Arial"/>
          <w:color w:val="auto"/>
          <w:lang w:val="es-ES"/>
        </w:rPr>
        <w:t xml:space="preserve"> de servicios, el cual </w:t>
      </w:r>
      <w:r w:rsidR="00D060ED" w:rsidRPr="003B3E95">
        <w:rPr>
          <w:rFonts w:ascii="Arial" w:eastAsia="Arial" w:hAnsi="Arial" w:cs="Arial"/>
          <w:color w:val="auto"/>
          <w:lang w:val="es-ES"/>
        </w:rPr>
        <w:t>contiene la plataforma estrate</w:t>
      </w:r>
      <w:r w:rsidR="00941064" w:rsidRPr="003B3E95">
        <w:rPr>
          <w:rFonts w:ascii="Arial" w:eastAsia="Arial" w:hAnsi="Arial" w:cs="Arial"/>
          <w:color w:val="auto"/>
          <w:lang w:val="es-ES"/>
        </w:rPr>
        <w:t>gia y los servicios habilitados.</w:t>
      </w:r>
      <w:r w:rsidR="00FB2AE1" w:rsidRPr="003B3E95">
        <w:rPr>
          <w:rFonts w:ascii="Arial" w:eastAsia="Arial" w:hAnsi="Arial" w:cs="Arial"/>
          <w:color w:val="auto"/>
          <w:lang w:val="es-ES"/>
        </w:rPr>
        <w:t xml:space="preserve"> En cuanto al modelo de salud la IPS Fundación Amigos de la Salud creo un modelo llamado Modelo Integral de Atención en Salud Colombiano – MIAS basado en la Atención Integral, que pretende generar mejores condiciones de salud para la población a través de la regulación de la intervención sectorial e intersectorial.</w:t>
      </w:r>
    </w:p>
    <w:p w14:paraId="325201DD" w14:textId="38821E2A" w:rsidR="00D060ED" w:rsidRPr="003B3E95" w:rsidRDefault="00D060ED" w:rsidP="00A7078D">
      <w:pPr>
        <w:pStyle w:val="Default"/>
        <w:jc w:val="both"/>
        <w:rPr>
          <w:rFonts w:ascii="Arial" w:eastAsia="Arial" w:hAnsi="Arial" w:cs="Arial"/>
          <w:color w:val="auto"/>
          <w:lang w:val="es-ES"/>
        </w:rPr>
      </w:pPr>
    </w:p>
    <w:p w14:paraId="7AE67084" w14:textId="4378B76D" w:rsidR="00430BF6" w:rsidRPr="003B3E95" w:rsidRDefault="00430BF6" w:rsidP="00A7078D">
      <w:pPr>
        <w:pStyle w:val="Default"/>
        <w:jc w:val="both"/>
        <w:rPr>
          <w:rFonts w:ascii="Arial" w:eastAsia="Arial" w:hAnsi="Arial" w:cs="Arial"/>
          <w:color w:val="auto"/>
          <w:lang w:val="es-ES"/>
        </w:rPr>
      </w:pPr>
      <w:r w:rsidRPr="003B3E95">
        <w:rPr>
          <w:rFonts w:ascii="Arial" w:eastAsia="Arial" w:hAnsi="Arial" w:cs="Arial"/>
          <w:color w:val="auto"/>
          <w:lang w:val="es-ES"/>
        </w:rPr>
        <w:t xml:space="preserve">Equipos Biomédicos: la gestion de equipos biomédicos es una de las herramientas utilizadas por la fundación como un proceso de importancia </w:t>
      </w:r>
      <w:r w:rsidR="00BF7096" w:rsidRPr="003B3E95">
        <w:rPr>
          <w:rFonts w:ascii="Arial" w:eastAsia="Arial" w:hAnsi="Arial" w:cs="Arial"/>
          <w:color w:val="auto"/>
          <w:lang w:val="es-ES"/>
        </w:rPr>
        <w:t xml:space="preserve">transversal en la atención clínica; se observa un adecuado lineamiento en temas como adquisición, mantenimiento, inventarios y bajas. </w:t>
      </w:r>
      <w:r w:rsidR="00BF7096" w:rsidRPr="003B3E95">
        <w:rPr>
          <w:rFonts w:ascii="Arial" w:eastAsia="Arial" w:hAnsi="Arial" w:cs="Arial"/>
          <w:color w:val="auto"/>
          <w:lang w:val="es-ES"/>
        </w:rPr>
        <w:t>Dentro de estos lineamientos los relacionados con las actividades de medic</w:t>
      </w:r>
      <w:r w:rsidR="00BF7096" w:rsidRPr="003B3E95">
        <w:rPr>
          <w:rFonts w:ascii="Arial" w:eastAsia="Arial" w:hAnsi="Arial" w:cs="Arial"/>
          <w:color w:val="auto"/>
          <w:lang w:val="es-ES"/>
        </w:rPr>
        <w:t xml:space="preserve">ión (metrología) de los equipos </w:t>
      </w:r>
      <w:r w:rsidR="00BF7096" w:rsidRPr="003B3E95">
        <w:rPr>
          <w:rFonts w:ascii="Arial" w:eastAsia="Arial" w:hAnsi="Arial" w:cs="Arial"/>
          <w:color w:val="auto"/>
          <w:lang w:val="es-ES"/>
        </w:rPr>
        <w:t xml:space="preserve">biomédicos, </w:t>
      </w:r>
      <w:r w:rsidR="00BF7096" w:rsidRPr="003B3E95">
        <w:rPr>
          <w:rFonts w:ascii="Arial" w:eastAsia="Arial" w:hAnsi="Arial" w:cs="Arial"/>
          <w:color w:val="auto"/>
          <w:lang w:val="es-ES"/>
        </w:rPr>
        <w:t>están siendo controlados y garantizados por el área de Biomédicos y además reportada a la alta dirección, los equipos son cambiados cada 4 o 5 años para mantener la innovación y la tecnología en la IPS.</w:t>
      </w:r>
    </w:p>
    <w:p w14:paraId="10D90657" w14:textId="77777777" w:rsidR="00430BF6" w:rsidRPr="003B3E95" w:rsidRDefault="00430BF6" w:rsidP="00A7078D">
      <w:pPr>
        <w:pStyle w:val="Default"/>
        <w:jc w:val="both"/>
        <w:rPr>
          <w:rFonts w:ascii="Arial" w:eastAsia="Arial" w:hAnsi="Arial" w:cs="Arial"/>
          <w:color w:val="auto"/>
          <w:lang w:val="es-ES"/>
        </w:rPr>
      </w:pPr>
    </w:p>
    <w:p w14:paraId="007A2233" w14:textId="7D1D3FB9" w:rsidR="00DE4A42" w:rsidRPr="003B3E95" w:rsidRDefault="00250061" w:rsidP="00FA0934">
      <w:pPr>
        <w:pStyle w:val="Default"/>
        <w:jc w:val="both"/>
        <w:rPr>
          <w:rFonts w:ascii="Arial" w:hAnsi="Arial" w:cs="Arial"/>
          <w:color w:val="auto"/>
          <w:lang w:val="es-ES"/>
        </w:rPr>
      </w:pPr>
      <w:r w:rsidRPr="003B3E95">
        <w:rPr>
          <w:rFonts w:ascii="Arial" w:hAnsi="Arial" w:cs="Arial"/>
          <w:color w:val="auto"/>
          <w:lang w:val="es-ES"/>
        </w:rPr>
        <w:t xml:space="preserve">Historia Clínica: refiere la IPS </w:t>
      </w:r>
      <w:r w:rsidR="00FA0934" w:rsidRPr="003B3E95">
        <w:rPr>
          <w:rFonts w:ascii="Arial" w:hAnsi="Arial" w:cs="Arial"/>
          <w:color w:val="auto"/>
          <w:lang w:val="es-ES"/>
        </w:rPr>
        <w:t>que</w:t>
      </w:r>
      <w:r w:rsidRPr="003B3E95">
        <w:rPr>
          <w:rFonts w:ascii="Arial" w:hAnsi="Arial" w:cs="Arial"/>
          <w:color w:val="auto"/>
          <w:lang w:val="es-ES"/>
        </w:rPr>
        <w:t xml:space="preserve"> tiene un Software </w:t>
      </w:r>
      <w:r w:rsidR="00555E44" w:rsidRPr="003B3E95">
        <w:rPr>
          <w:rFonts w:ascii="Arial" w:hAnsi="Arial" w:cs="Arial"/>
          <w:color w:val="auto"/>
          <w:lang w:val="es-ES"/>
        </w:rPr>
        <w:t xml:space="preserve">para todo el proceso de Atención </w:t>
      </w:r>
      <w:r w:rsidRPr="003B3E95">
        <w:rPr>
          <w:rFonts w:ascii="Arial" w:hAnsi="Arial" w:cs="Arial"/>
          <w:color w:val="auto"/>
          <w:lang w:val="es-ES"/>
        </w:rPr>
        <w:t xml:space="preserve">denominado </w:t>
      </w:r>
      <w:r w:rsidR="00FB2AE1" w:rsidRPr="003B3E95">
        <w:rPr>
          <w:rFonts w:ascii="Arial" w:hAnsi="Arial" w:cs="Arial"/>
          <w:color w:val="auto"/>
          <w:lang w:val="es-ES"/>
        </w:rPr>
        <w:t>Krystalos (</w:t>
      </w:r>
      <w:r w:rsidR="00555E44" w:rsidRPr="003B3E95">
        <w:rPr>
          <w:rFonts w:ascii="Arial" w:hAnsi="Arial" w:cs="Arial"/>
          <w:color w:val="auto"/>
          <w:lang w:val="es-ES"/>
        </w:rPr>
        <w:t>última</w:t>
      </w:r>
      <w:r w:rsidR="00DE4A42" w:rsidRPr="003B3E95">
        <w:rPr>
          <w:rFonts w:ascii="Arial" w:hAnsi="Arial" w:cs="Arial"/>
          <w:color w:val="auto"/>
          <w:lang w:val="es-ES"/>
        </w:rPr>
        <w:t xml:space="preserve"> </w:t>
      </w:r>
      <w:r w:rsidR="00FB2AE1" w:rsidRPr="003B3E95">
        <w:rPr>
          <w:rFonts w:ascii="Arial" w:hAnsi="Arial" w:cs="Arial"/>
          <w:color w:val="auto"/>
          <w:lang w:val="es-ES"/>
        </w:rPr>
        <w:t>actualización)</w:t>
      </w:r>
      <w:r w:rsidRPr="003B3E95">
        <w:rPr>
          <w:rFonts w:ascii="Arial" w:hAnsi="Arial" w:cs="Arial"/>
          <w:color w:val="auto"/>
          <w:lang w:val="es-ES"/>
        </w:rPr>
        <w:t xml:space="preserve"> el cual </w:t>
      </w:r>
      <w:r w:rsidR="00DE4A42" w:rsidRPr="003B3E95">
        <w:rPr>
          <w:rFonts w:ascii="Arial" w:hAnsi="Arial" w:cs="Arial"/>
          <w:color w:val="auto"/>
          <w:lang w:val="es-ES"/>
        </w:rPr>
        <w:t>contiene</w:t>
      </w:r>
      <w:r w:rsidRPr="003B3E95">
        <w:rPr>
          <w:rFonts w:ascii="Arial" w:hAnsi="Arial" w:cs="Arial"/>
          <w:color w:val="auto"/>
          <w:lang w:val="es-ES"/>
        </w:rPr>
        <w:t xml:space="preserve"> todas las aplicaciones que se necesitan para la organización administrativa financiera y clínica; se observa una Historia clínica completa de acuerdo a </w:t>
      </w:r>
      <w:r w:rsidRPr="003B3E95">
        <w:rPr>
          <w:rFonts w:ascii="Arial" w:hAnsi="Arial" w:cs="Arial"/>
          <w:color w:val="auto"/>
          <w:lang w:val="es-ES"/>
        </w:rPr>
        <w:lastRenderedPageBreak/>
        <w:t xml:space="preserve">los parámetros de la normatividad, </w:t>
      </w:r>
      <w:r w:rsidR="00DE4A42" w:rsidRPr="003B3E95">
        <w:rPr>
          <w:rFonts w:ascii="Arial" w:hAnsi="Arial" w:cs="Arial"/>
          <w:color w:val="auto"/>
          <w:lang w:val="es-ES"/>
        </w:rPr>
        <w:t>El sistema almacena la información en equipos servidores de base de datos propios</w:t>
      </w:r>
      <w:r w:rsidR="005234AC" w:rsidRPr="003B3E95">
        <w:rPr>
          <w:rFonts w:ascii="Arial" w:hAnsi="Arial" w:cs="Arial"/>
          <w:color w:val="auto"/>
          <w:lang w:val="es-ES"/>
        </w:rPr>
        <w:t>, estos servidores están</w:t>
      </w:r>
      <w:r w:rsidR="00DE4A42" w:rsidRPr="003B3E95">
        <w:rPr>
          <w:rFonts w:ascii="Arial" w:hAnsi="Arial" w:cs="Arial"/>
          <w:color w:val="auto"/>
          <w:lang w:val="es-ES"/>
        </w:rPr>
        <w:t xml:space="preserve"> resguardados en el área de siste</w:t>
      </w:r>
      <w:r w:rsidR="000A21BC" w:rsidRPr="003B3E95">
        <w:rPr>
          <w:rFonts w:ascii="Arial" w:hAnsi="Arial" w:cs="Arial"/>
          <w:color w:val="auto"/>
          <w:lang w:val="es-ES"/>
        </w:rPr>
        <w:t>mas, bajo medidas de seguridad, protección eléctrica y</w:t>
      </w:r>
      <w:r w:rsidR="00DE4A42" w:rsidRPr="003B3E95">
        <w:rPr>
          <w:rFonts w:ascii="Arial" w:hAnsi="Arial" w:cs="Arial"/>
          <w:color w:val="auto"/>
          <w:lang w:val="es-ES"/>
        </w:rPr>
        <w:t xml:space="preserve"> ambientales, junto con otros controles para el ingreso físico y electrónico de los mismos. La autenticación para el ingreso al software de Historia Clínica </w:t>
      </w:r>
      <w:r w:rsidR="005234AC" w:rsidRPr="003B3E95">
        <w:rPr>
          <w:rFonts w:ascii="Arial" w:hAnsi="Arial" w:cs="Arial"/>
          <w:color w:val="auto"/>
          <w:lang w:val="es-ES"/>
        </w:rPr>
        <w:t xml:space="preserve">se realiza </w:t>
      </w:r>
      <w:r w:rsidR="00DE4A42" w:rsidRPr="003B3E95">
        <w:rPr>
          <w:rFonts w:ascii="Arial" w:hAnsi="Arial" w:cs="Arial"/>
          <w:color w:val="auto"/>
          <w:lang w:val="es-ES"/>
        </w:rPr>
        <w:t xml:space="preserve">a través de firma electrónica y de la configuración previa de permisos según cada rol, </w:t>
      </w:r>
      <w:r w:rsidR="005234AC" w:rsidRPr="003B3E95">
        <w:rPr>
          <w:rFonts w:ascii="Arial" w:hAnsi="Arial" w:cs="Arial"/>
          <w:color w:val="auto"/>
          <w:lang w:val="es-ES"/>
        </w:rPr>
        <w:t xml:space="preserve">el software </w:t>
      </w:r>
      <w:r w:rsidR="00DE4A42" w:rsidRPr="003B3E95">
        <w:rPr>
          <w:rFonts w:ascii="Arial" w:hAnsi="Arial" w:cs="Arial"/>
          <w:color w:val="auto"/>
          <w:lang w:val="es-ES"/>
        </w:rPr>
        <w:t>permite proteger la información contra ingresos y modificaciones no autorizadas</w:t>
      </w:r>
      <w:r w:rsidR="005234AC" w:rsidRPr="003B3E95">
        <w:rPr>
          <w:rFonts w:ascii="Arial" w:hAnsi="Arial" w:cs="Arial"/>
          <w:color w:val="auto"/>
          <w:lang w:val="es-ES"/>
        </w:rPr>
        <w:t>,</w:t>
      </w:r>
      <w:r w:rsidR="00DE4A42" w:rsidRPr="003B3E95">
        <w:rPr>
          <w:rFonts w:ascii="Arial" w:hAnsi="Arial" w:cs="Arial"/>
          <w:color w:val="auto"/>
          <w:lang w:val="es-ES"/>
        </w:rPr>
        <w:t xml:space="preserve"> El sistema no permite realizar modificaciones a la Historia Clínica una vez firmada, se pueden realizar </w:t>
      </w:r>
      <w:r w:rsidR="005234AC" w:rsidRPr="003B3E95">
        <w:rPr>
          <w:rFonts w:ascii="Arial" w:hAnsi="Arial" w:cs="Arial"/>
          <w:color w:val="auto"/>
          <w:lang w:val="es-ES"/>
        </w:rPr>
        <w:t xml:space="preserve">solo </w:t>
      </w:r>
      <w:r w:rsidR="00DE4A42" w:rsidRPr="003B3E95">
        <w:rPr>
          <w:rFonts w:ascii="Arial" w:hAnsi="Arial" w:cs="Arial"/>
          <w:color w:val="auto"/>
          <w:lang w:val="es-ES"/>
        </w:rPr>
        <w:t>notas aclaratorias.</w:t>
      </w:r>
    </w:p>
    <w:p w14:paraId="66C28C1C" w14:textId="77777777" w:rsidR="00DE4A42" w:rsidRPr="003B3E95" w:rsidRDefault="00DE4A42" w:rsidP="00FA0934">
      <w:pPr>
        <w:pStyle w:val="Default"/>
        <w:jc w:val="both"/>
        <w:rPr>
          <w:rFonts w:ascii="Arial" w:hAnsi="Arial" w:cs="Arial"/>
          <w:color w:val="auto"/>
          <w:lang w:val="es-ES"/>
        </w:rPr>
      </w:pPr>
    </w:p>
    <w:p w14:paraId="2707D962" w14:textId="1EC6D444" w:rsidR="00544D77" w:rsidRPr="003B3E95" w:rsidRDefault="006B2637" w:rsidP="006B2637">
      <w:pPr>
        <w:pStyle w:val="Default"/>
        <w:jc w:val="both"/>
        <w:rPr>
          <w:rFonts w:ascii="Arial" w:hAnsi="Arial" w:cs="Arial"/>
          <w:color w:val="auto"/>
          <w:lang w:val="es-ES"/>
        </w:rPr>
      </w:pPr>
      <w:r w:rsidRPr="003B3E95">
        <w:rPr>
          <w:rFonts w:ascii="Arial" w:hAnsi="Arial" w:cs="Arial"/>
          <w:color w:val="auto"/>
          <w:lang w:val="es-ES"/>
        </w:rPr>
        <w:t>E</w:t>
      </w:r>
      <w:r w:rsidR="00345F3E" w:rsidRPr="003B3E95">
        <w:rPr>
          <w:rFonts w:ascii="Arial" w:hAnsi="Arial" w:cs="Arial"/>
          <w:color w:val="auto"/>
          <w:lang w:val="es-ES"/>
        </w:rPr>
        <w:t xml:space="preserve">l comité de Historia Clínica </w:t>
      </w:r>
      <w:r w:rsidRPr="003B3E95">
        <w:rPr>
          <w:rFonts w:ascii="Arial" w:hAnsi="Arial" w:cs="Arial"/>
          <w:color w:val="auto"/>
          <w:lang w:val="es-ES"/>
        </w:rPr>
        <w:t>está integrado por personas del Programa de Auditoria clínica, de sus reuniones se levantan actas, es realizado una vez cada mes por cada una de las unidades funcionales de la</w:t>
      </w:r>
      <w:r w:rsidR="00E01F1B" w:rsidRPr="003B3E95">
        <w:rPr>
          <w:rFonts w:ascii="Arial" w:hAnsi="Arial" w:cs="Arial"/>
          <w:color w:val="auto"/>
          <w:lang w:val="es-ES"/>
        </w:rPr>
        <w:t xml:space="preserve"> IPS, utilizan una lista de chequeo, en promedio mes se revisan de 2500 a 3000 historias clínicas tienen una proporción de calidad del 93,67%.</w:t>
      </w:r>
    </w:p>
    <w:p w14:paraId="5102492D" w14:textId="77777777" w:rsidR="006B2637" w:rsidRPr="003B3E95" w:rsidRDefault="006B2637" w:rsidP="006B2637">
      <w:pPr>
        <w:pStyle w:val="Default"/>
        <w:jc w:val="both"/>
        <w:rPr>
          <w:rFonts w:ascii="Arial" w:hAnsi="Arial" w:cs="Arial"/>
          <w:color w:val="auto"/>
          <w:lang w:val="es-ES"/>
        </w:rPr>
      </w:pPr>
    </w:p>
    <w:p w14:paraId="1DF7A0FE" w14:textId="23E40A78" w:rsidR="007516E1" w:rsidRPr="003B3E95" w:rsidRDefault="00544D77" w:rsidP="007516E1">
      <w:pPr>
        <w:pStyle w:val="Default"/>
        <w:jc w:val="both"/>
        <w:rPr>
          <w:rFonts w:ascii="Arial" w:hAnsi="Arial" w:cs="Arial"/>
          <w:color w:val="auto"/>
          <w:lang w:val="es-ES"/>
        </w:rPr>
      </w:pPr>
      <w:r w:rsidRPr="003B3E95">
        <w:rPr>
          <w:rFonts w:ascii="Arial" w:hAnsi="Arial" w:cs="Arial"/>
          <w:color w:val="auto"/>
          <w:lang w:val="es-ES"/>
        </w:rPr>
        <w:t>Guías</w:t>
      </w:r>
      <w:r w:rsidR="0010100B" w:rsidRPr="003B3E95">
        <w:rPr>
          <w:rFonts w:ascii="Arial" w:hAnsi="Arial" w:cs="Arial"/>
          <w:color w:val="auto"/>
          <w:lang w:val="es-ES"/>
        </w:rPr>
        <w:t xml:space="preserve"> de manejo: </w:t>
      </w:r>
      <w:r w:rsidR="009F0A91" w:rsidRPr="003B3E95">
        <w:rPr>
          <w:rFonts w:ascii="Arial" w:hAnsi="Arial" w:cs="Arial"/>
          <w:color w:val="auto"/>
          <w:lang w:val="es-ES"/>
        </w:rPr>
        <w:t xml:space="preserve">la IPS con la resolución No 002 de enero 15 de 2024 decide a través de la directora ejecutiva y representante legal </w:t>
      </w:r>
      <w:r w:rsidR="007516E1" w:rsidRPr="003B3E95">
        <w:rPr>
          <w:rFonts w:ascii="Arial" w:hAnsi="Arial" w:cs="Arial"/>
          <w:color w:val="auto"/>
          <w:lang w:val="es-ES"/>
        </w:rPr>
        <w:t>s</w:t>
      </w:r>
      <w:r w:rsidR="007516E1" w:rsidRPr="003B3E95">
        <w:rPr>
          <w:rFonts w:ascii="Arial" w:hAnsi="Arial" w:cs="Arial"/>
          <w:color w:val="auto"/>
          <w:lang w:val="es-ES"/>
        </w:rPr>
        <w:t xml:space="preserve">e toma la decisión de Adoptar e implementar las siguientes Guías de Práctica Clínica de acuerdo al perfil de Morbilidad de la Fundación Amigos de la Salud así: </w:t>
      </w:r>
    </w:p>
    <w:p w14:paraId="3FE80458" w14:textId="141D33A2"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(GPC) para el diagnóstico, tratamiento y seguimiento de la diabetes Mellitus tipo 2 en la población mayor de 18 años. Ministerio de Salud y Protección Social. </w:t>
      </w:r>
    </w:p>
    <w:p w14:paraId="42FB762A" w14:textId="236004E6"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el manejo de la neumonía adquirida en la comunidad. Universidad Nacional de Colombia. </w:t>
      </w:r>
    </w:p>
    <w:p w14:paraId="43F10D10" w14:textId="35A8C34C"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el diagnóstico, tratamiento y rehabilitación del episodio agudo del Ataque Cerebrovascular Isquémico en población mayor de 18 años. Ministerio de Salud y Protección Social. </w:t>
      </w:r>
    </w:p>
    <w:p w14:paraId="118EF68F" w14:textId="265908FC"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la infección de vías urinarias complicada. Asociación Colombiana de Infectología. </w:t>
      </w:r>
    </w:p>
    <w:p w14:paraId="349573F6" w14:textId="40BA853C"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Colelitiasis </w:t>
      </w:r>
    </w:p>
    <w:p w14:paraId="648E7E0E" w14:textId="4E9638E5"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de Hemorragia Gastrointestinal </w:t>
      </w:r>
    </w:p>
    <w:p w14:paraId="4986C92F" w14:textId="74118AD2"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el diagnóstico y tratamiento de la Enfermedad Renal Crónica. Ministerio de Salud y Protección Social. </w:t>
      </w:r>
    </w:p>
    <w:p w14:paraId="52E0F1B4" w14:textId="60078E20"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la prevención, diagnóstico, tratamiento y rehabilitación de la falla cardíaca en población mayor de 18 años, clasificación B, C y D. Ministerio de Salud y Protección Social. </w:t>
      </w:r>
    </w:p>
    <w:p w14:paraId="1AA57A3B" w14:textId="1CE45AF0"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el diagnóstico y tratamiento de pacientes adultos con trauma craneoencefálico severo. Ministerio de Salud y Protección Social. </w:t>
      </w:r>
    </w:p>
    <w:p w14:paraId="594EFC3A" w14:textId="7F815F95"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Consenso Colombiano en Sepsis. Asociación Colombiana de Infectología. </w:t>
      </w:r>
    </w:p>
    <w:p w14:paraId="462F3242" w14:textId="213CD263"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sobre el Diagnóstico, Tratamiento y Prevención de la Tuberculosis. </w:t>
      </w:r>
    </w:p>
    <w:p w14:paraId="1BA7EB1D" w14:textId="355FF22A"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de Dengue: Dengue Memorias. Ministerio de Salud y Protección Social. </w:t>
      </w:r>
    </w:p>
    <w:p w14:paraId="13F388E9" w14:textId="3CD9F2B3"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Guía de Práctica Clínica Diagnóstico y tratamiento de la malaria. Ministerio de Salud y Protección Social.</w:t>
      </w:r>
    </w:p>
    <w:p w14:paraId="00D8102A" w14:textId="104094C6"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la prevención, diagnóstico y tratamiento de la ideación y/o conducta suicida. Ministerio de Salud y Protección Social. </w:t>
      </w:r>
    </w:p>
    <w:p w14:paraId="7BF0D39A" w14:textId="189817F2"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el Síndrome Coronario Agudo. Ministerio de Salud y Protección Social. </w:t>
      </w:r>
    </w:p>
    <w:p w14:paraId="60F2AB90" w14:textId="1DDB523E"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Apendicitis </w:t>
      </w:r>
    </w:p>
    <w:p w14:paraId="58AC98FD" w14:textId="01EED843"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Programa Nacional de Prevención, Manejo y Control de la Infección Respiratoria Aguda y la Enfermedad Diarreica Aguda. Ministerio de Salud y Protección Social. </w:t>
      </w:r>
    </w:p>
    <w:p w14:paraId="70760E67" w14:textId="42EB3D9C"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prevención, diagnóstico y tratamiento de la enfermedad diarreica aguda en niños menores de 5 años. Ministerio de Salud y Protección Social. </w:t>
      </w:r>
    </w:p>
    <w:p w14:paraId="7C138637" w14:textId="55A75726"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(GPC) basada en la evidencia científica para la atención de la infección por VIH/SIDA en personas adultas, gestantes y adolescentes. Ministerio de Salud y Protección Social. </w:t>
      </w:r>
    </w:p>
    <w:p w14:paraId="1410F57A" w14:textId="0FC7369B"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Manejo Hemorragia Postparto. Plan de Choque de Reducción de Mortalidad Materna. Ministerio de Salud y Protección Social. </w:t>
      </w:r>
    </w:p>
    <w:p w14:paraId="69A608C8" w14:textId="68869E11"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Manejo Sepsis Materna. Plan de Choque de Reducción de Mortalidad Materna. Ministerio de Salud y Protección Social. </w:t>
      </w:r>
    </w:p>
    <w:p w14:paraId="21ABDB17" w14:textId="0F6AD024"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Manejo Trastornos Hipertensivos del Embarazo. Plan de Choque de Reducción de Mortalidad Materna. Ministerio de Salud y Protección Social. </w:t>
      </w:r>
    </w:p>
    <w:p w14:paraId="5900D38D" w14:textId="0FBFA004"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Manejo Eclampsia y Crisis Hipertensiva en Embarazo. Plan de Choque de Reducción de Mortalidad Materna. Ministerio de Salud y Protección Social. </w:t>
      </w:r>
    </w:p>
    <w:p w14:paraId="0FC0AC08" w14:textId="456A7000"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Manejo Enfermedad Tromboembolica en Embarazo. Plan de Choque de Reducción de Mortalidad Materna. Ministerio de Salud y Protección Social. </w:t>
      </w:r>
    </w:p>
    <w:p w14:paraId="6D946048" w14:textId="1F5792D5"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el diagnóstico, tratamiento e inicio de la rehabilitación psicosocial de los adultos con esquizofrenia. Ministerio de Salud y Protección Social. </w:t>
      </w:r>
    </w:p>
    <w:p w14:paraId="703E9EE4" w14:textId="7DA8BF41"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Guía de práctica clínica para la Detección temprana y diagnóstico de depresión (episodio depresivo y trastorno depresivo recurrente) en adultos. Ministerio de Salud y Protección Social. </w:t>
      </w:r>
    </w:p>
    <w:p w14:paraId="2D629108" w14:textId="4DBE2490" w:rsidR="007516E1" w:rsidRPr="003B3E95" w:rsidRDefault="007516E1" w:rsidP="007516E1">
      <w:pPr>
        <w:pStyle w:val="Default"/>
        <w:numPr>
          <w:ilvl w:val="0"/>
          <w:numId w:val="24"/>
        </w:numPr>
        <w:jc w:val="both"/>
        <w:rPr>
          <w:rFonts w:ascii="Arial" w:hAnsi="Arial" w:cs="Arial"/>
          <w:color w:val="auto"/>
          <w:lang w:val="es-ES"/>
        </w:rPr>
      </w:pPr>
      <w:r w:rsidRPr="003B3E95">
        <w:rPr>
          <w:rFonts w:ascii="Arial" w:hAnsi="Arial" w:cs="Arial"/>
          <w:color w:val="auto"/>
          <w:lang w:val="es-ES"/>
        </w:rPr>
        <w:t xml:space="preserve">Modelo de Atención Integral para trastornos por usos de sustancias psicoactivas en Colombia. Ministerio de Salud y Protección Social. </w:t>
      </w:r>
    </w:p>
    <w:p w14:paraId="3962B1A7" w14:textId="77777777" w:rsidR="007516E1" w:rsidRPr="003B3E95" w:rsidRDefault="007516E1" w:rsidP="007516E1">
      <w:pPr>
        <w:pStyle w:val="Default"/>
        <w:jc w:val="both"/>
        <w:rPr>
          <w:rFonts w:ascii="Arial" w:hAnsi="Arial" w:cs="Arial"/>
          <w:color w:val="auto"/>
          <w:lang w:val="es-ES"/>
        </w:rPr>
      </w:pPr>
    </w:p>
    <w:p w14:paraId="1A463407" w14:textId="77777777" w:rsidR="007516E1" w:rsidRPr="003B3E95" w:rsidRDefault="007516E1" w:rsidP="007516E1">
      <w:pPr>
        <w:pStyle w:val="Default"/>
        <w:jc w:val="both"/>
        <w:rPr>
          <w:rFonts w:ascii="Arial" w:hAnsi="Arial" w:cs="Arial"/>
          <w:color w:val="auto"/>
          <w:lang w:val="es-ES"/>
        </w:rPr>
      </w:pPr>
      <w:r w:rsidRPr="003B3E95">
        <w:rPr>
          <w:rFonts w:ascii="Arial" w:hAnsi="Arial" w:cs="Arial"/>
          <w:color w:val="auto"/>
          <w:lang w:val="es-ES"/>
        </w:rPr>
        <w:t>Además, también deciden Adoptar e implementar los siguientes protocolos de vigilancia en salud pública:</w:t>
      </w:r>
    </w:p>
    <w:p w14:paraId="1246BAA6" w14:textId="77777777" w:rsidR="007516E1" w:rsidRPr="003B3E95" w:rsidRDefault="007516E1" w:rsidP="007516E1">
      <w:pPr>
        <w:pStyle w:val="Default"/>
        <w:jc w:val="both"/>
        <w:rPr>
          <w:rFonts w:ascii="Arial" w:hAnsi="Arial" w:cs="Arial"/>
          <w:color w:val="auto"/>
          <w:lang w:val="es-ES"/>
        </w:rPr>
      </w:pPr>
    </w:p>
    <w:p w14:paraId="3E733E6F" w14:textId="35662F9A"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accidente ofídico.</w:t>
      </w:r>
    </w:p>
    <w:p w14:paraId="662EF0C7" w14:textId="30A1A466"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cáncer de mama y cuello uterino.</w:t>
      </w:r>
    </w:p>
    <w:p w14:paraId="31D7F4EF" w14:textId="442CB386"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cáncer menores de 18 años.</w:t>
      </w:r>
    </w:p>
    <w:p w14:paraId="44DC4B37" w14:textId="01EFE6B0"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Chagas.</w:t>
      </w:r>
    </w:p>
    <w:p w14:paraId="523E6761" w14:textId="6B719A98"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Chikungunya.</w:t>
      </w:r>
    </w:p>
    <w:p w14:paraId="3F10CB61" w14:textId="00449CF4"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Cólera</w:t>
      </w:r>
    </w:p>
    <w:p w14:paraId="02572B99" w14:textId="6345FE0D"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Consumo de antibióticos intra hospitalarios</w:t>
      </w:r>
    </w:p>
    <w:p w14:paraId="65303A83" w14:textId="0F302885"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defectos congénitos</w:t>
      </w:r>
    </w:p>
    <w:p w14:paraId="06419AB3" w14:textId="458F387A"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Dengue</w:t>
      </w:r>
    </w:p>
    <w:p w14:paraId="1DD866BF" w14:textId="22768912"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Desnutrición en menores de 5 años.</w:t>
      </w:r>
    </w:p>
    <w:p w14:paraId="11EA7D30" w14:textId="38754ED5"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Difteria</w:t>
      </w:r>
    </w:p>
    <w:p w14:paraId="6BD15F12" w14:textId="075E0C50"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Enfermedad diarreica aguda.</w:t>
      </w:r>
    </w:p>
    <w:p w14:paraId="5A391E10" w14:textId="3E0AFEC0"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Encefalitis equina</w:t>
      </w:r>
    </w:p>
    <w:p w14:paraId="5C4334A3" w14:textId="46DBF39A"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Enfermedades huérfanas y raras. 15. Protocolo de vigilancia en Salud pública para Evento adverso grave posterior a la vacunación</w:t>
      </w:r>
    </w:p>
    <w:p w14:paraId="19472F7A" w14:textId="7F1D2B57"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ETA enfermedad transmitidas por alimentos</w:t>
      </w:r>
    </w:p>
    <w:p w14:paraId="5AF52220" w14:textId="1D14A4FD"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Exposición a flúor final</w:t>
      </w:r>
    </w:p>
    <w:p w14:paraId="092B186B" w14:textId="3C0A4578"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Fiebre amarilla</w:t>
      </w:r>
    </w:p>
    <w:p w14:paraId="55547ED6" w14:textId="7117D1FA"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Fiebre tifoidea</w:t>
      </w:r>
    </w:p>
    <w:p w14:paraId="2592B9E6" w14:textId="39DF454D"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Hepatitis A</w:t>
      </w:r>
    </w:p>
    <w:p w14:paraId="08F28473" w14:textId="457280F3"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Hepatitis B, C y Delta</w:t>
      </w:r>
    </w:p>
    <w:p w14:paraId="5ACFE5B9" w14:textId="54C9CC48"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Infecciones asociadas a dispositivos.</w:t>
      </w:r>
    </w:p>
    <w:p w14:paraId="74ACE204" w14:textId="5CAED679"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infecciones asociadas a procedimientos médico- quirúrgicos.</w:t>
      </w:r>
    </w:p>
    <w:p w14:paraId="27679E4D" w14:textId="3A66C483"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intento de suicidio</w:t>
      </w:r>
    </w:p>
    <w:p w14:paraId="4D30CAB6" w14:textId="138DA64A"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intoxicaciones.</w:t>
      </w:r>
    </w:p>
    <w:p w14:paraId="63DD80AE" w14:textId="3C313069"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IRA</w:t>
      </w:r>
    </w:p>
    <w:p w14:paraId="439E87E0" w14:textId="461B0994"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Leishmaniasis.</w:t>
      </w:r>
    </w:p>
    <w:p w14:paraId="33CF6F19" w14:textId="164B6004"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Lepra</w:t>
      </w:r>
    </w:p>
    <w:p w14:paraId="37E5D9F0" w14:textId="64AF267C"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Leptospirosis</w:t>
      </w:r>
    </w:p>
    <w:p w14:paraId="07E6AD73" w14:textId="2E644342"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Lesiones de causa externa</w:t>
      </w:r>
    </w:p>
    <w:p w14:paraId="3798BF6A" w14:textId="5774F725"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lesiones por minas antipersonal y municiones sin explosionar.</w:t>
      </w:r>
    </w:p>
    <w:p w14:paraId="79F4068B" w14:textId="3D3A1AD0"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Lesiones por pólvora pirotécnica</w:t>
      </w:r>
    </w:p>
    <w:p w14:paraId="21ABF5D0" w14:textId="79236544"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Malaria.</w:t>
      </w:r>
    </w:p>
    <w:p w14:paraId="5D01F504" w14:textId="5DF0DB63"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meningitis bacteriana y enfermedad meningocócica</w:t>
      </w:r>
    </w:p>
    <w:p w14:paraId="2F218D18" w14:textId="7C1D3E33"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Microcefalia</w:t>
      </w:r>
    </w:p>
    <w:p w14:paraId="352EA81D" w14:textId="08E8378C"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Morbilidad materna extrema.</w:t>
      </w:r>
    </w:p>
    <w:p w14:paraId="59F42492" w14:textId="4FA7A3A4"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Mortalidad en menores de 5 años.</w:t>
      </w:r>
    </w:p>
    <w:p w14:paraId="062BCC2F" w14:textId="6D3DA3BE"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Mortalidad Materna</w:t>
      </w:r>
    </w:p>
    <w:p w14:paraId="5944E411" w14:textId="70BF8FB4"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Mortalidad perinatal y neonatal.</w:t>
      </w:r>
    </w:p>
    <w:p w14:paraId="42EE3478" w14:textId="7FF8EAF1"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Parálisis flácida aguda</w:t>
      </w:r>
    </w:p>
    <w:p w14:paraId="475FC6B2" w14:textId="0B5A17D0"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Parotiditis</w:t>
      </w:r>
    </w:p>
    <w:p w14:paraId="4056721B" w14:textId="1A504E92"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resistencia bacteriana a los antimicrobianos en el ámbito hospitalario</w:t>
      </w:r>
    </w:p>
    <w:p w14:paraId="4F644EAC" w14:textId="15E2FFDF"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sífilis gestacional y congénita</w:t>
      </w:r>
    </w:p>
    <w:p w14:paraId="562B06A8" w14:textId="407ED6C4"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sarampión y rubeola</w:t>
      </w:r>
    </w:p>
    <w:p w14:paraId="4BAB43A1" w14:textId="5D02055A"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tétanos accidental</w:t>
      </w:r>
    </w:p>
    <w:p w14:paraId="044E6736" w14:textId="319439F8"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tétanos neonatal</w:t>
      </w:r>
    </w:p>
    <w:p w14:paraId="4EDA2F6C" w14:textId="1E80A4A1"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Tracoma</w:t>
      </w:r>
    </w:p>
    <w:p w14:paraId="235A33E7" w14:textId="48387D8B"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Tuberculosis – tuberculosis farmacorresistentes</w:t>
      </w:r>
    </w:p>
    <w:p w14:paraId="5685ED73" w14:textId="3A351B28"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Varicela</w:t>
      </w:r>
    </w:p>
    <w:p w14:paraId="6AF32805" w14:textId="225FA952"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VIH Sida</w:t>
      </w:r>
    </w:p>
    <w:p w14:paraId="0D534074" w14:textId="4AEF75D2"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Violencia de genero e intrafamiliar y ataques con agentes químicos</w:t>
      </w:r>
    </w:p>
    <w:p w14:paraId="4DDC66B3" w14:textId="5F87DA9F" w:rsidR="007516E1" w:rsidRPr="003B3E95" w:rsidRDefault="007516E1" w:rsidP="007516E1">
      <w:pPr>
        <w:pStyle w:val="Default"/>
        <w:numPr>
          <w:ilvl w:val="0"/>
          <w:numId w:val="26"/>
        </w:numPr>
        <w:jc w:val="both"/>
        <w:rPr>
          <w:rFonts w:ascii="Arial" w:hAnsi="Arial" w:cs="Arial"/>
          <w:color w:val="auto"/>
          <w:lang w:val="es-ES"/>
        </w:rPr>
      </w:pPr>
      <w:r w:rsidRPr="003B3E95">
        <w:rPr>
          <w:rFonts w:ascii="Arial" w:hAnsi="Arial" w:cs="Arial"/>
          <w:color w:val="auto"/>
          <w:lang w:val="es-ES"/>
        </w:rPr>
        <w:t>Protocolo de vigilancia en Salud pública para Zika.</w:t>
      </w:r>
    </w:p>
    <w:p w14:paraId="478D98FE" w14:textId="77777777" w:rsidR="00C30D4E" w:rsidRDefault="00C30D4E" w:rsidP="007516E1">
      <w:pPr>
        <w:pStyle w:val="Default"/>
        <w:jc w:val="both"/>
        <w:rPr>
          <w:rFonts w:ascii="Arial" w:hAnsi="Arial" w:cs="Arial"/>
          <w:color w:val="auto"/>
          <w:lang w:val="es-ES"/>
        </w:rPr>
      </w:pPr>
    </w:p>
    <w:p w14:paraId="50A1BB00" w14:textId="586220B5" w:rsidR="007516E1" w:rsidRPr="003B3E95" w:rsidRDefault="007516E1" w:rsidP="007516E1">
      <w:pPr>
        <w:pStyle w:val="Default"/>
        <w:jc w:val="both"/>
        <w:rPr>
          <w:rFonts w:ascii="Arial" w:hAnsi="Arial" w:cs="Arial"/>
          <w:color w:val="auto"/>
          <w:lang w:val="es-ES"/>
        </w:rPr>
      </w:pPr>
      <w:r w:rsidRPr="003B3E95">
        <w:rPr>
          <w:rFonts w:ascii="Arial" w:hAnsi="Arial" w:cs="Arial"/>
          <w:color w:val="auto"/>
          <w:lang w:val="es-ES"/>
        </w:rPr>
        <w:t>Las Guías de Práctica Clínica y protocolos de vigilancia en Salud Pública adoptados mediante la presente resolución, se encuentran publicados en la carpeta FAS – DOCUMENTOS DE CONSULTA y además podrán ser consultadas en el acceso compartido de la plataforma ONE DRIVE. Este proceso ha permitido a la IPS unificar criterios en el manejo de los pacientes, brindar un servicio de calidad y ofrecer unos resultados óptimos; también genera una racionalización de los recursos y mejora la atención, se cuenta con un instrumento de evaluación y auditoría. Quienes realizan la ejecución, evaluación y monitoria de las guías de manejo clínico son la coordinación médica y de enfermería para finalizar, refiere la IPS que el cumplimiento de las Guías de Práctica Clínica estará a cargo de la Dirección de servicios médicos.</w:t>
      </w:r>
    </w:p>
    <w:p w14:paraId="2C49752F" w14:textId="4A6A1966" w:rsidR="009F0A91" w:rsidRPr="003B3E95" w:rsidRDefault="009F0A91" w:rsidP="003826BC">
      <w:pPr>
        <w:pStyle w:val="Default"/>
        <w:jc w:val="both"/>
        <w:rPr>
          <w:rFonts w:ascii="Arial" w:hAnsi="Arial" w:cs="Arial"/>
          <w:color w:val="auto"/>
          <w:lang w:val="es-ES"/>
        </w:rPr>
      </w:pPr>
    </w:p>
    <w:p w14:paraId="31380FE6" w14:textId="589F4027" w:rsidR="00781FBF" w:rsidRPr="003B3E95" w:rsidRDefault="22A4A3C7" w:rsidP="007516E1">
      <w:pPr>
        <w:pStyle w:val="Ttulo3"/>
        <w:numPr>
          <w:ilvl w:val="0"/>
          <w:numId w:val="0"/>
        </w:numPr>
        <w:spacing w:before="0" w:line="240" w:lineRule="auto"/>
        <w:jc w:val="both"/>
        <w:rPr>
          <w:rStyle w:val="normaltextrun"/>
          <w:rFonts w:ascii="Arial" w:hAnsi="Arial" w:cs="Arial"/>
          <w:b/>
          <w:bCs/>
          <w:color w:val="auto"/>
          <w:shd w:val="clear" w:color="auto" w:fill="FFFFFF"/>
        </w:rPr>
      </w:pPr>
      <w:bookmarkStart w:id="6" w:name="_Toc144728563"/>
      <w:bookmarkStart w:id="7" w:name="_Toc563827858"/>
      <w:r w:rsidRPr="003B3E95">
        <w:rPr>
          <w:rStyle w:val="normaltextrun"/>
          <w:rFonts w:ascii="Arial" w:hAnsi="Arial" w:cs="Arial"/>
          <w:b/>
          <w:bCs/>
          <w:color w:val="auto"/>
          <w:shd w:val="clear" w:color="auto" w:fill="FFFFFF"/>
        </w:rPr>
        <w:t>Verificación Pacientes internados</w:t>
      </w:r>
      <w:bookmarkEnd w:id="6"/>
      <w:bookmarkEnd w:id="7"/>
    </w:p>
    <w:p w14:paraId="5EFDB573" w14:textId="6F9440E3" w:rsidR="00A7078D" w:rsidRPr="003B3E95" w:rsidRDefault="00A7078D" w:rsidP="00A7078D">
      <w:pPr>
        <w:pStyle w:val="Default"/>
        <w:jc w:val="both"/>
        <w:rPr>
          <w:rFonts w:ascii="Arial" w:hAnsi="Arial" w:cs="Arial"/>
          <w:color w:val="auto"/>
          <w:lang w:val="es-ES"/>
        </w:rPr>
      </w:pPr>
      <w:r w:rsidRPr="003B3E95">
        <w:rPr>
          <w:rFonts w:ascii="Arial" w:hAnsi="Arial" w:cs="Arial"/>
          <w:color w:val="auto"/>
          <w:lang w:val="es-ES"/>
        </w:rPr>
        <w:t xml:space="preserve">Solicitud censo diario filtrado por pacientes que actualmente se encuentran hospitalizados o en urgencias con cargo presente o potencial a la ADRES. </w:t>
      </w:r>
    </w:p>
    <w:p w14:paraId="4626DE69" w14:textId="77777777" w:rsidR="00A7078D" w:rsidRPr="003B3E95" w:rsidRDefault="00A7078D" w:rsidP="00A7078D">
      <w:pPr>
        <w:pStyle w:val="Default"/>
        <w:jc w:val="both"/>
        <w:rPr>
          <w:rFonts w:ascii="Arial" w:hAnsi="Arial" w:cs="Arial"/>
          <w:color w:val="auto"/>
          <w:lang w:val="es-ES"/>
        </w:rPr>
      </w:pPr>
    </w:p>
    <w:p w14:paraId="5C2F2F9E" w14:textId="224416EE" w:rsidR="00A7078D" w:rsidRPr="003B3E95" w:rsidRDefault="00A7078D" w:rsidP="00A7078D">
      <w:pPr>
        <w:pStyle w:val="Default"/>
        <w:jc w:val="both"/>
        <w:rPr>
          <w:rFonts w:ascii="Arial" w:hAnsi="Arial" w:cs="Arial"/>
          <w:color w:val="auto"/>
          <w:lang w:val="es-ES"/>
        </w:rPr>
      </w:pPr>
      <w:r w:rsidRPr="003B3E95">
        <w:rPr>
          <w:rFonts w:ascii="Arial" w:hAnsi="Arial" w:cs="Arial"/>
          <w:b/>
          <w:color w:val="auto"/>
          <w:lang w:val="es-ES"/>
        </w:rPr>
        <w:t>Hallazgo:</w:t>
      </w:r>
      <w:r w:rsidRPr="003B3E95">
        <w:rPr>
          <w:rFonts w:ascii="Arial" w:hAnsi="Arial" w:cs="Arial"/>
          <w:color w:val="auto"/>
          <w:lang w:val="es-ES"/>
        </w:rPr>
        <w:t xml:space="preserve"> se recibe el censo de </w:t>
      </w:r>
      <w:r w:rsidR="00345F3E" w:rsidRPr="003B3E95">
        <w:rPr>
          <w:rFonts w:ascii="Arial" w:hAnsi="Arial" w:cs="Arial"/>
          <w:color w:val="auto"/>
          <w:lang w:val="es-ES"/>
        </w:rPr>
        <w:t xml:space="preserve">FUNDACION </w:t>
      </w:r>
      <w:r w:rsidR="00D22E06" w:rsidRPr="003B3E95">
        <w:rPr>
          <w:rFonts w:ascii="Arial" w:hAnsi="Arial" w:cs="Arial"/>
          <w:color w:val="auto"/>
          <w:lang w:val="es-ES"/>
        </w:rPr>
        <w:t xml:space="preserve">AMIGOS DE LA SALUD </w:t>
      </w:r>
      <w:r w:rsidR="00345F3E" w:rsidRPr="003B3E95">
        <w:rPr>
          <w:rFonts w:ascii="Arial" w:hAnsi="Arial" w:cs="Arial"/>
          <w:color w:val="auto"/>
          <w:lang w:val="es-ES"/>
        </w:rPr>
        <w:t xml:space="preserve">en hospitalización </w:t>
      </w:r>
      <w:r w:rsidR="007516E1" w:rsidRPr="003B3E95">
        <w:rPr>
          <w:rFonts w:ascii="Arial" w:hAnsi="Arial" w:cs="Arial"/>
          <w:color w:val="auto"/>
          <w:lang w:val="es-ES"/>
        </w:rPr>
        <w:t>y se encuentran</w:t>
      </w:r>
      <w:r w:rsidRPr="003B3E95">
        <w:rPr>
          <w:rFonts w:ascii="Arial" w:hAnsi="Arial" w:cs="Arial"/>
          <w:color w:val="auto"/>
          <w:lang w:val="es-ES"/>
        </w:rPr>
        <w:t xml:space="preserve"> </w:t>
      </w:r>
      <w:r w:rsidR="00D22E06" w:rsidRPr="003B3E95">
        <w:rPr>
          <w:rFonts w:ascii="Arial" w:hAnsi="Arial" w:cs="Arial"/>
          <w:color w:val="auto"/>
          <w:lang w:val="es-ES"/>
        </w:rPr>
        <w:t>5</w:t>
      </w:r>
      <w:r w:rsidRPr="003B3E95">
        <w:rPr>
          <w:rFonts w:ascii="Arial" w:hAnsi="Arial" w:cs="Arial"/>
          <w:color w:val="auto"/>
          <w:lang w:val="es-ES"/>
        </w:rPr>
        <w:t xml:space="preserve"> pacientes </w:t>
      </w:r>
      <w:r w:rsidR="00D22E06" w:rsidRPr="003B3E95">
        <w:rPr>
          <w:rFonts w:ascii="Arial" w:hAnsi="Arial" w:cs="Arial"/>
          <w:color w:val="auto"/>
          <w:lang w:val="es-ES"/>
        </w:rPr>
        <w:t>con</w:t>
      </w:r>
      <w:r w:rsidR="00345F3E" w:rsidRPr="003B3E95">
        <w:rPr>
          <w:rFonts w:ascii="Arial" w:hAnsi="Arial" w:cs="Arial"/>
          <w:color w:val="auto"/>
          <w:lang w:val="es-ES"/>
        </w:rPr>
        <w:t xml:space="preserve"> cargo al</w:t>
      </w:r>
      <w:r w:rsidRPr="003B3E95">
        <w:rPr>
          <w:rFonts w:ascii="Arial" w:hAnsi="Arial" w:cs="Arial"/>
          <w:color w:val="auto"/>
          <w:lang w:val="es-ES"/>
        </w:rPr>
        <w:t xml:space="preserve"> ADR</w:t>
      </w:r>
      <w:r w:rsidR="00345F3E" w:rsidRPr="003B3E95">
        <w:rPr>
          <w:rFonts w:ascii="Arial" w:hAnsi="Arial" w:cs="Arial"/>
          <w:color w:val="auto"/>
          <w:lang w:val="es-ES"/>
        </w:rPr>
        <w:t>ES</w:t>
      </w:r>
      <w:r w:rsidR="007516E1" w:rsidRPr="003B3E95">
        <w:rPr>
          <w:rFonts w:ascii="Arial" w:hAnsi="Arial" w:cs="Arial"/>
          <w:color w:val="auto"/>
          <w:lang w:val="es-ES"/>
        </w:rPr>
        <w:t>, que a continuación describo</w:t>
      </w:r>
      <w:r w:rsidR="001F1595" w:rsidRPr="003B3E95">
        <w:rPr>
          <w:rFonts w:ascii="Arial" w:hAnsi="Arial" w:cs="Arial"/>
          <w:color w:val="auto"/>
          <w:lang w:val="es-ES"/>
        </w:rPr>
        <w:t>:</w:t>
      </w:r>
    </w:p>
    <w:p w14:paraId="4D02AE7A" w14:textId="25C6C2AA" w:rsidR="002048EB" w:rsidRPr="003B3E95" w:rsidRDefault="002048EB" w:rsidP="00A7078D">
      <w:pPr>
        <w:pStyle w:val="Default"/>
        <w:jc w:val="both"/>
        <w:rPr>
          <w:rFonts w:ascii="Arial" w:hAnsi="Arial" w:cs="Arial"/>
          <w:color w:val="auto"/>
          <w:lang w:val="es-ES"/>
        </w:rPr>
      </w:pPr>
    </w:p>
    <w:p w14:paraId="38DAEB02" w14:textId="77777777" w:rsidR="00D22E06" w:rsidRPr="003B3E95" w:rsidRDefault="00D22E06" w:rsidP="001F1595">
      <w:pPr>
        <w:pStyle w:val="Prrafodelista"/>
        <w:numPr>
          <w:ilvl w:val="0"/>
          <w:numId w:val="28"/>
        </w:numPr>
        <w:spacing w:after="0" w:line="240" w:lineRule="auto"/>
        <w:jc w:val="both"/>
        <w:rPr>
          <w:rFonts w:ascii="Arial" w:hAnsi="Arial" w:cs="Arial"/>
          <w:b/>
          <w:sz w:val="24"/>
          <w:szCs w:val="24"/>
          <w:lang w:val="es-ES"/>
        </w:rPr>
      </w:pPr>
      <w:r w:rsidRPr="003B3E95">
        <w:rPr>
          <w:rFonts w:ascii="Arial" w:hAnsi="Arial" w:cs="Arial"/>
          <w:b/>
          <w:sz w:val="24"/>
          <w:szCs w:val="24"/>
          <w:lang w:val="es-ES"/>
        </w:rPr>
        <w:t xml:space="preserve">NEGRETE CORREA NILSON NAIDER </w:t>
      </w:r>
    </w:p>
    <w:p w14:paraId="4176832B" w14:textId="7777777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CC No 10631522 Sexo: Masculino Edad:35 años Fecha ingreso: 01/11/2024</w:t>
      </w:r>
    </w:p>
    <w:p w14:paraId="7A92E17C" w14:textId="7777777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Proveniente LORICA CORDOBA</w:t>
      </w:r>
    </w:p>
    <w:p w14:paraId="2ED01905" w14:textId="770F85F8"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DX S066 HEMORRAGIA SUBARACNOIDEA TRAUMATICA S066</w:t>
      </w:r>
    </w:p>
    <w:p w14:paraId="7D3B04FF" w14:textId="236383F9"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paciente masculino de 35 años, sin antecedentes médicos relevantes, ingresó el 10 de noviembre de 2024 tras un accidente de tránsito que le causó politrauma y pérdida de conciencia. Durante su estancia 12 dias, se le realizaron varios estudios, incluyendo tomografías, que mostraron una fractura de clavícula derecha y una hemorragia subaracnoidea traumática. El 11 de noviembre, se le realizó una cirugía osteosíntesis de fractura de clavícula. A pesar de la intervención, el paciente mostró un deterioro neurológico y desorientación, lo que llevó a su remisión al servicio de neurocirugía. Al ingreso a la unidad de cuidados intensivos, su estado era regular, con signos vitales estables, aunque presentaba leve disartria. Se inició un tratamiento para prevenir complicaciones neurológicas y se le proporcionó una dieta enteral. El paciente tiene un alto riesgo de deterioro neurológico y complicaciones respiratorias, por lo que se decidió que continuara en cuidados intermedios. Su diagnóstico incluye trauma craneoencefálico moderado, hemorragia subaracnoidea, trauma cerrado de tórax y abdomen y osteosíntesis de clavícula. Paciente con alto riesgo de deterior neurológico, fracaso ventilatorio y muerte</w:t>
      </w:r>
    </w:p>
    <w:p w14:paraId="755879CB" w14:textId="0CC29955" w:rsidR="00D22E06" w:rsidRPr="003B3E95" w:rsidRDefault="00D22E06" w:rsidP="00D22E06">
      <w:pPr>
        <w:spacing w:after="0" w:line="240" w:lineRule="auto"/>
        <w:jc w:val="both"/>
        <w:rPr>
          <w:rFonts w:ascii="Arial" w:hAnsi="Arial" w:cs="Arial"/>
          <w:sz w:val="24"/>
          <w:szCs w:val="24"/>
          <w:lang w:val="es-ES"/>
        </w:rPr>
      </w:pPr>
    </w:p>
    <w:p w14:paraId="5E454466" w14:textId="77777777" w:rsidR="00D22E06" w:rsidRPr="003B3E95" w:rsidRDefault="00D22E06" w:rsidP="001F1595">
      <w:pPr>
        <w:pStyle w:val="Prrafodelista"/>
        <w:numPr>
          <w:ilvl w:val="0"/>
          <w:numId w:val="28"/>
        </w:numPr>
        <w:spacing w:after="0" w:line="240" w:lineRule="auto"/>
        <w:jc w:val="both"/>
        <w:rPr>
          <w:rFonts w:ascii="Arial" w:hAnsi="Arial" w:cs="Arial"/>
          <w:b/>
          <w:sz w:val="24"/>
          <w:szCs w:val="24"/>
          <w:lang w:val="es-ES"/>
        </w:rPr>
      </w:pPr>
      <w:r w:rsidRPr="003B3E95">
        <w:rPr>
          <w:rFonts w:ascii="Arial" w:hAnsi="Arial" w:cs="Arial"/>
          <w:b/>
          <w:sz w:val="24"/>
          <w:szCs w:val="24"/>
          <w:lang w:val="es-ES"/>
        </w:rPr>
        <w:t>MEDRANO RIVERO GEOVANNY ENRIQUE</w:t>
      </w:r>
    </w:p>
    <w:p w14:paraId="225DED60" w14:textId="7777777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CC: 17954706 Sexo: Masculino Edad: 52 AÑOS Fecha ingreso: 12/11/2024 </w:t>
      </w:r>
    </w:p>
    <w:p w14:paraId="21886EE0" w14:textId="773673F1"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DX S524 FRACTURA DE LA DIAFISIS DEL CUBITO Y DEL RADIO</w:t>
      </w:r>
    </w:p>
    <w:p w14:paraId="7C03455A" w14:textId="55D0E4F5"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Proveniente SINCELEJO SUCRE</w:t>
      </w:r>
    </w:p>
    <w:p w14:paraId="24887AF1" w14:textId="7777777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Paciente Masculino, 52 años con Diagnósticos Principales: 1. Politraumatismo secundario a accidente de tránsito. 2. Trauma craneoencefálico moderado (cefalalgia en estudio). 3. Trauma en antebrazo derecho: - Fractura de tercio medio de radio desplazada. 4. Trauma en rodilla derecha. </w:t>
      </w:r>
    </w:p>
    <w:p w14:paraId="22E14319" w14:textId="77777777" w:rsidR="00D22E06" w:rsidRPr="003B3E95" w:rsidRDefault="00D22E06" w:rsidP="00D22E06">
      <w:pPr>
        <w:spacing w:after="0" w:line="240" w:lineRule="auto"/>
        <w:jc w:val="both"/>
        <w:rPr>
          <w:rFonts w:ascii="Arial" w:hAnsi="Arial" w:cs="Arial"/>
          <w:sz w:val="24"/>
          <w:szCs w:val="24"/>
          <w:lang w:val="es-ES"/>
        </w:rPr>
      </w:pPr>
    </w:p>
    <w:p w14:paraId="12674194" w14:textId="56F6056F"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Antecedentes: Quirúrgicos: Exploración de brazo derecho por herida penetrante con proyectil de arma de fuego hace 1 año. Hospitalarios: Hospitalización previa por herida penetrante con proyectil de arma de fuego en brazo derecho. Familiares: Hipertensión arterial, Alzheimer. Examen Físico: Extremidades: Simétricas, eutróficas. - Antebrazo derecho: Inmovilizado con cabestrillo, herida abrasiva sin signos de infección, edema. Rodilla derecha: Herida abrasiva, edema, limitación funcional, llenado capilar &lt;2 segundos. </w:t>
      </w:r>
    </w:p>
    <w:p w14:paraId="1E4B7986" w14:textId="7777777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El paciente fue remitido desde el E.S.E Hospital Universitario de Sincelejo tras un accidente de tránsito. En el centro de referencia se realizaron estudios de imagen: Tomografía de cráneo: Dentro de parámetros normales. - Radiografía de antebrazo derecho: Fractura compleja de tercio medio de radio desplazada. Radiografía de rodilla derecha: Baja densidad mineral ósea, sospecha de compromiso de ligamento cruzado posterior, se considera que el paciente se beneficiará de un manejo quirúrgico denominado Reducción abierta y fijación interna de la fractura de radio con placa LCP recta de 3.5 mm y tornillos. El paciente presenta un cuadro clínico complejo que requiere atención quirúrgica inmediata y manejo médico especializado, justificando así su estancia en el servicio de urgencias y posterior hospitalización. Se ha explicado la conducta a seguir al paciente y su familia, quienes han comprendido y aceptado el plan propuesto.</w:t>
      </w:r>
    </w:p>
    <w:p w14:paraId="1E3C6272" w14:textId="4FD07752" w:rsidR="00D22E06" w:rsidRPr="003B3E95" w:rsidRDefault="00D22E06" w:rsidP="00D22E06">
      <w:pPr>
        <w:spacing w:after="0" w:line="240" w:lineRule="auto"/>
        <w:jc w:val="both"/>
        <w:rPr>
          <w:rFonts w:ascii="Arial" w:hAnsi="Arial" w:cs="Arial"/>
          <w:sz w:val="24"/>
          <w:szCs w:val="24"/>
          <w:lang w:val="es-ES"/>
        </w:rPr>
      </w:pPr>
    </w:p>
    <w:p w14:paraId="0D99660A" w14:textId="77777777" w:rsidR="00D22E06" w:rsidRPr="003B3E95" w:rsidRDefault="00D22E06" w:rsidP="001F1595">
      <w:pPr>
        <w:pStyle w:val="Prrafodelista"/>
        <w:numPr>
          <w:ilvl w:val="0"/>
          <w:numId w:val="28"/>
        </w:numPr>
        <w:spacing w:after="0" w:line="240" w:lineRule="auto"/>
        <w:jc w:val="both"/>
        <w:rPr>
          <w:rFonts w:ascii="Arial" w:hAnsi="Arial" w:cs="Arial"/>
          <w:b/>
          <w:sz w:val="24"/>
          <w:szCs w:val="24"/>
          <w:lang w:val="es-ES"/>
        </w:rPr>
      </w:pPr>
      <w:r w:rsidRPr="003B3E95">
        <w:rPr>
          <w:rFonts w:ascii="Arial" w:hAnsi="Arial" w:cs="Arial"/>
          <w:b/>
          <w:sz w:val="24"/>
          <w:szCs w:val="24"/>
          <w:lang w:val="es-ES"/>
        </w:rPr>
        <w:t>BEJARANO RENTERIA JESUS ALBERTO</w:t>
      </w:r>
    </w:p>
    <w:p w14:paraId="14EEE54D" w14:textId="3B9894DE"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CC 1077439597 Sexo: Masculino Edad: 35 AÑOS Fecha ingreso: 7/11/2024 </w:t>
      </w:r>
    </w:p>
    <w:p w14:paraId="2BDF7292" w14:textId="7777777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DX S272 HEMONEUMOTORAX TRAUMATICO</w:t>
      </w:r>
    </w:p>
    <w:p w14:paraId="14BAEC28" w14:textId="4D05E10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Proveniente QUIBDO CHOCO</w:t>
      </w:r>
    </w:p>
    <w:p w14:paraId="139C04E2" w14:textId="4E8A08F4"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Paciente masculino de 24 años que ingresa al servicio de urgencias como traslado primario desde el Hospital César Uribe Piedrahita, donde fue admitido el 03 de noviembre de 2024 tras ser trasladado desde el Hospital San Antonio de Tarazá, en el contexto de politraumatismo toracoabdominal por mina de dispersión y onda expansiva. Estado al Ingreso: Desaturación del 85% con oxígeno basal. Dolor intenso en hemitórax derecho. </w:t>
      </w:r>
    </w:p>
    <w:p w14:paraId="759689F8" w14:textId="7D2B97A4"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Radiografía de tórax: Hemoneumotórax derecho con desplazamiento de línea mediastinal. Toracostomía evacuatoria de emergencia realizada por cirugía general, con drenaje escaso de contenido hemático y campo pulmonar hipoventilado. Radiografía de tórax: Posible contusión pulmonar. Ecografía de tórax: Hemotórax derecho de gran cuantía postraumático, neumotórax, atelectasia pulmonar total derecha. Durante su estancia, el paciente presenta episodios de Agitación psicomotora Verborrea Actitud altiva y demandante Ideas de megalomanía y superioridad Ideas de persecución Debido a la complejidad del caso, se decide remitir al paciente a un centro de mayor complejidad para estudios complementarios (tomografía de tórax) y valoración por cirugía de tórax para manejo integral. </w:t>
      </w:r>
    </w:p>
    <w:p w14:paraId="19B0A1B5" w14:textId="4359C8C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Estado General: Regular Requiere oxígeno suplementario por cánula nasal a razón de 2 litros por minuto, con saturación dentro de metas. Sin signos de dificultad respiratoria. Paciente ingresado para manejo médico, realización de estudios complementarios y valoración especializada. Diagnóstica: 1. Drenaje de Hemoneumotórax derecho vía Toracostomía cerrada (03.11.2024). 2. Hemotórax coagulado derecho en estudio. 3. Trastorno psicótico agudo en estudio. Plan de Manejo: Continuar con oxigenoterapia y monitoreo de signos vitales. Realizar tomografía de tórax. Evaluación por psiquiatría para el manejo del trastorno psicótico. Considerar intervención quirúrgica adicional, según resultados de estudios complementarios. </w:t>
      </w:r>
    </w:p>
    <w:p w14:paraId="283858D9" w14:textId="7777777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Cirugía de Tórax refiere Paciente irritante en uso de Toracostomía cerrada. Dolor a la palpación en el tórax anterior. Sonda a tórax inactiva. TAC de Tórax: muestra una lesión ocupante de espacio en mediastino anterosuperior sin definir planos de clivaje. Resumen, Opinión y Plan: Diagnóstico: Trauma de tórax contundente, de alta energía, con lesión ocupante de espacio en hemotórax derecho sin definir origen Extra pleural. Se indica realizar TAC de tórax contrastado como prioritario. Se decide el traslado a pabellón para manejo integral. Preparación para intervención quirúrgica. </w:t>
      </w:r>
    </w:p>
    <w:p w14:paraId="09EDABA1" w14:textId="69800404" w:rsidR="00D22E06" w:rsidRPr="003B3E95" w:rsidRDefault="00D22E06" w:rsidP="00D22E06">
      <w:pPr>
        <w:spacing w:after="0" w:line="240" w:lineRule="auto"/>
        <w:jc w:val="both"/>
        <w:rPr>
          <w:rFonts w:ascii="Arial" w:hAnsi="Arial" w:cs="Arial"/>
          <w:sz w:val="24"/>
          <w:szCs w:val="24"/>
          <w:lang w:val="es-ES"/>
        </w:rPr>
      </w:pPr>
    </w:p>
    <w:p w14:paraId="7DDDEC11" w14:textId="77777777" w:rsidR="00D22E06" w:rsidRPr="003B3E95" w:rsidRDefault="00D22E06" w:rsidP="001F1595">
      <w:pPr>
        <w:pStyle w:val="Prrafodelista"/>
        <w:numPr>
          <w:ilvl w:val="0"/>
          <w:numId w:val="28"/>
        </w:numPr>
        <w:spacing w:after="0" w:line="240" w:lineRule="auto"/>
        <w:jc w:val="both"/>
        <w:rPr>
          <w:rFonts w:ascii="Arial" w:hAnsi="Arial" w:cs="Arial"/>
          <w:b/>
          <w:sz w:val="24"/>
          <w:szCs w:val="24"/>
          <w:lang w:val="es-ES"/>
        </w:rPr>
      </w:pPr>
      <w:r w:rsidRPr="003B3E95">
        <w:rPr>
          <w:rFonts w:ascii="Arial" w:hAnsi="Arial" w:cs="Arial"/>
          <w:b/>
          <w:sz w:val="24"/>
          <w:szCs w:val="24"/>
          <w:lang w:val="es-ES"/>
        </w:rPr>
        <w:t>ARROYO ROJAS DANA SOFIA</w:t>
      </w:r>
    </w:p>
    <w:p w14:paraId="45B64B4D" w14:textId="77777777"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CC 1043309488 Sexo: Femenino Edad: 14 AÑOS Fecha ingreso: 02/11/2024</w:t>
      </w:r>
    </w:p>
    <w:p w14:paraId="5781DF83" w14:textId="5334F1D6"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DX V299 MOTOCICLISTA LESIONADO EN ACCIDENTE DE TRANSITO NO ESPECIFICADO</w:t>
      </w:r>
    </w:p>
    <w:p w14:paraId="3F039C6D" w14:textId="323F1382"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Proveniente MONTELIBANO CORDOBA</w:t>
      </w:r>
    </w:p>
    <w:p w14:paraId="536255F6" w14:textId="1A25F37B" w:rsidR="00D22E06" w:rsidRPr="003B3E95" w:rsidRDefault="00D22E06" w:rsidP="001F1595">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Paciente Femenino, 14 años, sin antecedentes patológicos relevantes, Acude al servicio de urgencias por politraumatismo secundario a accidente de tránsito (motocicleta, como parrillero) al colisionar con un bus intermunicipal. Presenta traumatismo en labio inferior y abdomen, sin pérdida de conocimiento. 20 minutos de evolución con dolor abdominal generalizado de intensidad moderada, predominante en hipocondrio derecho. </w:t>
      </w:r>
    </w:p>
    <w:p w14:paraId="588C0334" w14:textId="19E4C42E" w:rsidR="00D22E06" w:rsidRPr="003B3E95" w:rsidRDefault="00D22E06" w:rsidP="006C24BE">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Al ingreso al centro de salud, se observa que la paciente está consciente, alerta, orientada (Glasgow 15/15), hemodinamicamente estable, sin requerimiento de oxigenoterapia y tolerando oxígeno ambiente. Se inicia ayuno temporal y se coloca sonda nasogástrica. Se solicita valoración por cirugía pediátrica para manejo integral. radiografía de clavícula y húmero derecho por dolor y limitación funcional en el miembro superior derecho. Riesgos Identificados: Alto riesgo de deterioro neurológico, shock y muerte.  Se decide el manejo en unidad de cuidados intermedios pediátricos. Evaluar la necesidad de intervención quirúrgica según los resultados de los estudios, Es fundamental un enfoque multidisciplinario para el manejo de este tipo de pacientes, asegurando la atención integral y la pronta intervención en caso de ser necesario.</w:t>
      </w:r>
    </w:p>
    <w:p w14:paraId="6E6145B3" w14:textId="13766289" w:rsidR="00D22E06" w:rsidRPr="003B3E95" w:rsidRDefault="00D22E06" w:rsidP="006C24BE">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Diagnóstico Principal: Politraumatismo secundario a accidente de tránsito. Trauma de abdomen cerrado.</w:t>
      </w:r>
    </w:p>
    <w:p w14:paraId="22624F67" w14:textId="573A3071" w:rsidR="00D22E06" w:rsidRPr="003B3E95" w:rsidRDefault="00D22E06" w:rsidP="006C24BE">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Cuidados Intensivos: Paciente Femenino, 14 años, peso 45 kg regular estado de salud, activa, despierta, consciente y orientada. Presenta diagnóstico de trauma de abdomen cerrado y politraumatismo. con lesión en comisura labial derecha. Vía Periférica: En miembro superior derecho, permeable, sin signos de infiltración ni flebitis, Genitales: Íntegros, eliminando espontáneamente en sonda vesical. Extremidades Inferiores: Simétricas, sin limitaciones, con equimosis y laceraciones. Cubrimiento de antibióticos de amplio espectro y continua en UCI</w:t>
      </w:r>
    </w:p>
    <w:p w14:paraId="308CE122" w14:textId="77777777" w:rsidR="00D22E06" w:rsidRPr="003B3E95" w:rsidRDefault="00D22E06" w:rsidP="00D22E06">
      <w:pPr>
        <w:spacing w:after="0" w:line="240" w:lineRule="auto"/>
        <w:jc w:val="both"/>
        <w:rPr>
          <w:rFonts w:ascii="Arial" w:hAnsi="Arial" w:cs="Arial"/>
          <w:sz w:val="24"/>
          <w:szCs w:val="24"/>
          <w:lang w:val="es-ES"/>
        </w:rPr>
      </w:pPr>
    </w:p>
    <w:p w14:paraId="27A5B077" w14:textId="77777777" w:rsidR="00D22E06" w:rsidRPr="003B3E95" w:rsidRDefault="00D22E06" w:rsidP="001F1595">
      <w:pPr>
        <w:pStyle w:val="Prrafodelista"/>
        <w:numPr>
          <w:ilvl w:val="0"/>
          <w:numId w:val="28"/>
        </w:numPr>
        <w:spacing w:after="0" w:line="240" w:lineRule="auto"/>
        <w:jc w:val="both"/>
        <w:rPr>
          <w:rFonts w:ascii="Arial" w:hAnsi="Arial" w:cs="Arial"/>
          <w:b/>
          <w:sz w:val="24"/>
          <w:szCs w:val="24"/>
          <w:lang w:val="es-ES"/>
        </w:rPr>
      </w:pPr>
      <w:r w:rsidRPr="003B3E95">
        <w:rPr>
          <w:rFonts w:ascii="Arial" w:hAnsi="Arial" w:cs="Arial"/>
          <w:b/>
          <w:sz w:val="24"/>
          <w:szCs w:val="24"/>
          <w:lang w:val="es-ES"/>
        </w:rPr>
        <w:t>AMARIS ROJAS ADITH</w:t>
      </w:r>
    </w:p>
    <w:p w14:paraId="1A6F9A47" w14:textId="77777777" w:rsidR="00D22E06" w:rsidRPr="003B3E95" w:rsidRDefault="00D22E06" w:rsidP="006C24BE">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PT 1274888 Sexo: Masculino Edad: 33 AÑOS Fecha ingreso: 11/11/2024</w:t>
      </w:r>
    </w:p>
    <w:p w14:paraId="76BC4300" w14:textId="668873E1" w:rsidR="00D22E06" w:rsidRPr="003B3E95" w:rsidRDefault="00D22E06" w:rsidP="006C24BE">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DX S099 TRAUMATISMO DE LA CABEZA, NO ESPECIFICADO</w:t>
      </w:r>
    </w:p>
    <w:p w14:paraId="117F92C8" w14:textId="2425D7B1" w:rsidR="00D22E06" w:rsidRPr="003B3E95" w:rsidRDefault="00D22E06" w:rsidP="006C24BE">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Proveniente TURBO ANTIOQUIA</w:t>
      </w:r>
    </w:p>
    <w:p w14:paraId="2922271F" w14:textId="021403A5" w:rsidR="00D22E06" w:rsidRPr="003B3E95" w:rsidRDefault="00D22E06" w:rsidP="006C24BE">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Paciente Masculino, 33 años, sin antecedentes patológicos relevantes. Remitido por accidente no especificado, hallado en carretera tras ser embestido por una motocicleta fantasma, con trauma craneoencefálico (TCE) y pérdida de conciencia. Tiempo de evolución Aproximadamente 16 horas. Con Estado de conciencia Recuperada espontáneamente posterior a la pérdida de conciencia. Bajo efecto del alcohol. Contusión en hombro izquierdo con limitación funcional del miembro superior izquierdo. Edema bipalpebral en ojo izquierdo. Edema en hemicara derecha. Signos de epistaxis reciente. Intervenciones previas Sutura de herida en la región frontal izquierda. Radiografías que evidencian fractura de hueso frontal y cigomático. Plan de manejo Realización de radiografía de hombro y clavícula izquierdos para evaluación adicional.</w:t>
      </w:r>
    </w:p>
    <w:p w14:paraId="207D8BB0" w14:textId="2718A057" w:rsidR="00D22E06" w:rsidRPr="003B3E95" w:rsidRDefault="00D22E06" w:rsidP="006C24BE">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 xml:space="preserve">Diagnóstica 1. Trauma craneoencefálico moderado, 2. Fractura de hueso frontal y cigomático, 3. Contusión en hombro izquierdo Este hallazgo es relevante para el manejo del paciente, ya que puede afectar la movilidad y funcionalidad del miembro superior izquierdo. 4. Edema bipalpebral en ojo izquierdo y edema en hemicara derecha Estos signos sugieren un trauma facial significativo, que debe ser evaluado por cirugía maxilofacial. 5. Epistaxis reciente: Esto puede ser indicativo de un trauma en la región nasal o de un sangrado asociado a las fracturas faciales. 6. Estado de embriaguez: Es importante tener en cuenta el estado del paciente al momento del accidente, ya que puede influir en la evaluación y el manejo del trauma. </w:t>
      </w:r>
    </w:p>
    <w:p w14:paraId="0B64920B" w14:textId="77777777" w:rsidR="00D22E06" w:rsidRPr="003B3E95" w:rsidRDefault="00D22E06" w:rsidP="006C24BE">
      <w:pPr>
        <w:pStyle w:val="Prrafodelista"/>
        <w:spacing w:after="0" w:line="240" w:lineRule="auto"/>
        <w:jc w:val="both"/>
        <w:rPr>
          <w:rFonts w:ascii="Arial" w:hAnsi="Arial" w:cs="Arial"/>
          <w:sz w:val="24"/>
          <w:szCs w:val="24"/>
          <w:lang w:val="es-ES"/>
        </w:rPr>
      </w:pPr>
      <w:r w:rsidRPr="003B3E95">
        <w:rPr>
          <w:rFonts w:ascii="Arial" w:hAnsi="Arial" w:cs="Arial"/>
          <w:sz w:val="24"/>
          <w:szCs w:val="24"/>
          <w:lang w:val="es-ES"/>
        </w:rPr>
        <w:t>Plan de manejo: Realizar tomografía axial computarizada (TAC) de cráneo y senos paranasales para una evaluación más detallada del trauma craneoencefálico y las fracturas. Consulta con neurocirugía, cirugía maxilofacial y ortopedia para determinar el manejo quirúrgico o conservador de las fracturas y el trauma. Es fundamental un seguimiento cercano y una evaluación multidisciplinaria para asegurar la mejor recuperación del paciente.</w:t>
      </w:r>
    </w:p>
    <w:p w14:paraId="7C826DBC" w14:textId="35FC135C" w:rsidR="00A7078D" w:rsidRPr="003B3E95" w:rsidRDefault="00A7078D" w:rsidP="00A7078D">
      <w:pPr>
        <w:spacing w:after="0" w:line="240" w:lineRule="auto"/>
        <w:jc w:val="both"/>
        <w:rPr>
          <w:rFonts w:ascii="Arial" w:hAnsi="Arial" w:cs="Arial"/>
          <w:sz w:val="24"/>
          <w:szCs w:val="24"/>
          <w:lang w:val="es-ES"/>
        </w:rPr>
      </w:pPr>
    </w:p>
    <w:p w14:paraId="00A5ED14" w14:textId="00AD3560" w:rsidR="00A7078D" w:rsidRPr="003B3E95" w:rsidRDefault="22A4A3C7" w:rsidP="00E95766">
      <w:pPr>
        <w:pStyle w:val="Ttulo3"/>
        <w:numPr>
          <w:ilvl w:val="0"/>
          <w:numId w:val="0"/>
        </w:numPr>
        <w:spacing w:before="0" w:line="240" w:lineRule="auto"/>
        <w:ind w:left="720" w:hanging="720"/>
        <w:jc w:val="both"/>
        <w:rPr>
          <w:rStyle w:val="normaltextrun"/>
          <w:rFonts w:ascii="Arial" w:hAnsi="Arial" w:cs="Arial"/>
          <w:b/>
          <w:bCs/>
          <w:color w:val="auto"/>
          <w:shd w:val="clear" w:color="auto" w:fill="FFFFFF"/>
        </w:rPr>
      </w:pPr>
      <w:bookmarkStart w:id="8" w:name="_Toc144728564"/>
      <w:bookmarkStart w:id="9" w:name="_Toc714560723"/>
      <w:r w:rsidRPr="003B3E95">
        <w:rPr>
          <w:rStyle w:val="normaltextrun"/>
          <w:rFonts w:ascii="Arial" w:hAnsi="Arial" w:cs="Arial"/>
          <w:b/>
          <w:bCs/>
          <w:color w:val="auto"/>
          <w:shd w:val="clear" w:color="auto" w:fill="FFFFFF"/>
        </w:rPr>
        <w:t>Verificación Pacientes Consulta Externa</w:t>
      </w:r>
      <w:bookmarkEnd w:id="8"/>
      <w:bookmarkEnd w:id="9"/>
    </w:p>
    <w:p w14:paraId="70A5879B" w14:textId="4A983D03" w:rsidR="00A7078D" w:rsidRPr="003B3E95" w:rsidRDefault="00577ADE" w:rsidP="00577ADE">
      <w:pPr>
        <w:spacing w:after="0" w:line="240" w:lineRule="auto"/>
        <w:jc w:val="both"/>
        <w:rPr>
          <w:rFonts w:ascii="Arial" w:hAnsi="Arial" w:cs="Arial"/>
          <w:sz w:val="24"/>
          <w:szCs w:val="24"/>
          <w:lang w:val="es-ES"/>
        </w:rPr>
      </w:pPr>
      <w:r w:rsidRPr="003B3E95">
        <w:rPr>
          <w:rFonts w:ascii="Arial" w:hAnsi="Arial" w:cs="Arial"/>
          <w:sz w:val="24"/>
          <w:szCs w:val="24"/>
        </w:rPr>
        <w:t xml:space="preserve">El servicio de consulta externa </w:t>
      </w:r>
      <w:r w:rsidR="00E95766" w:rsidRPr="003B3E95">
        <w:rPr>
          <w:rFonts w:ascii="Arial" w:hAnsi="Arial" w:cs="Arial"/>
          <w:sz w:val="24"/>
          <w:szCs w:val="24"/>
        </w:rPr>
        <w:t xml:space="preserve">se encuentra ubicado en otra sede y cuenta con 23 servicios así: </w:t>
      </w:r>
      <w:r w:rsidR="00E95766" w:rsidRPr="003B3E95">
        <w:rPr>
          <w:rFonts w:ascii="Arial" w:hAnsi="Arial" w:cs="Arial"/>
          <w:sz w:val="24"/>
          <w:szCs w:val="24"/>
          <w:lang w:val="es-ES"/>
        </w:rPr>
        <w:t>Consulta de cardiología, cirugía general, cirugía neurológica, cirugía pediátrica, gastroenterología, Ginecobstetricia, genética, medicina interna, neurología, Neumología, nefrología, nutrición y dietética, ortopedia y/o traumatología, Otorrinolaringología, pediatría, psicología, psiquiatría, Urología, cirugía dermatológica, cirugía plástica y estética, cirugía vascular, anestesia, cirugía cardiovascular</w:t>
      </w:r>
      <w:r w:rsidRPr="003B3E95">
        <w:rPr>
          <w:rFonts w:ascii="Arial" w:hAnsi="Arial" w:cs="Arial"/>
          <w:sz w:val="24"/>
          <w:szCs w:val="24"/>
        </w:rPr>
        <w:t>, de suerte tal se evidencia un consultorio con equipamiento comp</w:t>
      </w:r>
      <w:r w:rsidR="00E95766" w:rsidRPr="003B3E95">
        <w:rPr>
          <w:rFonts w:ascii="Arial" w:hAnsi="Arial" w:cs="Arial"/>
          <w:sz w:val="24"/>
          <w:szCs w:val="24"/>
        </w:rPr>
        <w:t>l</w:t>
      </w:r>
      <w:r w:rsidRPr="003B3E95">
        <w:rPr>
          <w:rFonts w:ascii="Arial" w:hAnsi="Arial" w:cs="Arial"/>
          <w:sz w:val="24"/>
          <w:szCs w:val="24"/>
        </w:rPr>
        <w:t xml:space="preserve">eto para realizar dicho proceso programado, con agenda programada </w:t>
      </w:r>
      <w:r w:rsidR="00E95766" w:rsidRPr="003B3E95">
        <w:rPr>
          <w:rFonts w:ascii="Arial" w:hAnsi="Arial" w:cs="Arial"/>
          <w:sz w:val="24"/>
          <w:szCs w:val="24"/>
        </w:rPr>
        <w:t>cada 20</w:t>
      </w:r>
      <w:r w:rsidRPr="003B3E95">
        <w:rPr>
          <w:rFonts w:ascii="Arial" w:hAnsi="Arial" w:cs="Arial"/>
          <w:sz w:val="24"/>
          <w:szCs w:val="24"/>
        </w:rPr>
        <w:t xml:space="preserve"> minutos desde las 8 de la mañana.</w:t>
      </w:r>
    </w:p>
    <w:p w14:paraId="6727D9FE" w14:textId="0F4CD998" w:rsidR="00577ADE" w:rsidRPr="003B3E95" w:rsidRDefault="00577ADE" w:rsidP="00A7078D">
      <w:pPr>
        <w:spacing w:after="0" w:line="240" w:lineRule="auto"/>
        <w:rPr>
          <w:rFonts w:ascii="Arial" w:hAnsi="Arial" w:cs="Arial"/>
          <w:sz w:val="24"/>
          <w:szCs w:val="24"/>
        </w:rPr>
      </w:pPr>
    </w:p>
    <w:p w14:paraId="791548B3" w14:textId="6CCBF333" w:rsidR="00577ADE" w:rsidRPr="003B3E95" w:rsidRDefault="7C5CB8DC" w:rsidP="00E95766">
      <w:pPr>
        <w:pStyle w:val="Ttulo1"/>
        <w:numPr>
          <w:ilvl w:val="0"/>
          <w:numId w:val="0"/>
        </w:numPr>
        <w:spacing w:before="0" w:line="240" w:lineRule="auto"/>
        <w:ind w:left="432" w:hanging="432"/>
        <w:jc w:val="both"/>
        <w:rPr>
          <w:rFonts w:ascii="Arial" w:hAnsi="Arial" w:cs="Arial"/>
          <w:b/>
          <w:bCs/>
          <w:color w:val="auto"/>
          <w:sz w:val="24"/>
          <w:szCs w:val="24"/>
        </w:rPr>
      </w:pPr>
      <w:bookmarkStart w:id="10" w:name="_Toc144728571"/>
      <w:bookmarkStart w:id="11" w:name="_Toc775772079"/>
      <w:r w:rsidRPr="003B3E95">
        <w:rPr>
          <w:rFonts w:ascii="Arial" w:hAnsi="Arial" w:cs="Arial"/>
          <w:b/>
          <w:bCs/>
          <w:color w:val="auto"/>
          <w:sz w:val="24"/>
          <w:szCs w:val="24"/>
        </w:rPr>
        <w:t>Conclusiones</w:t>
      </w:r>
      <w:bookmarkEnd w:id="10"/>
      <w:bookmarkEnd w:id="11"/>
      <w:r w:rsidRPr="003B3E95">
        <w:rPr>
          <w:rFonts w:ascii="Arial" w:hAnsi="Arial" w:cs="Arial"/>
          <w:b/>
          <w:bCs/>
          <w:color w:val="auto"/>
          <w:sz w:val="24"/>
          <w:szCs w:val="24"/>
        </w:rPr>
        <w:t xml:space="preserve"> </w:t>
      </w:r>
    </w:p>
    <w:p w14:paraId="626292C8" w14:textId="1574E0EA" w:rsidR="003B3E95" w:rsidRDefault="003B3E95" w:rsidP="00D40C1B">
      <w:pPr>
        <w:spacing w:after="0" w:line="240" w:lineRule="auto"/>
        <w:jc w:val="both"/>
        <w:rPr>
          <w:rFonts w:ascii="Arial" w:hAnsi="Arial" w:cs="Arial"/>
          <w:sz w:val="24"/>
          <w:szCs w:val="24"/>
        </w:rPr>
      </w:pPr>
      <w:r>
        <w:rPr>
          <w:rFonts w:ascii="Arial" w:hAnsi="Arial" w:cs="Arial"/>
          <w:sz w:val="24"/>
          <w:szCs w:val="24"/>
        </w:rPr>
        <w:t>La IPS FUNDACION AMIGOS DE LA SALUD, tienen equipos Biomédicos modernos de última tecnología, los cuales están en mantenimiento y calibración constante además del seguimiento por las casas matrices; los fundadores tienen esa prioridad para el manejo y tratamiento de los pacientes de la región.</w:t>
      </w:r>
    </w:p>
    <w:p w14:paraId="3FE52BE7" w14:textId="49954645" w:rsidR="003B3E95" w:rsidRDefault="003B3E95" w:rsidP="00D40C1B">
      <w:pPr>
        <w:spacing w:after="0" w:line="240" w:lineRule="auto"/>
        <w:jc w:val="both"/>
        <w:rPr>
          <w:rFonts w:ascii="Arial" w:hAnsi="Arial" w:cs="Arial"/>
          <w:sz w:val="24"/>
          <w:szCs w:val="24"/>
        </w:rPr>
      </w:pPr>
    </w:p>
    <w:p w14:paraId="7EB5B0E2" w14:textId="0BE768FF" w:rsidR="003B3E95" w:rsidRDefault="003B3E95" w:rsidP="00D40C1B">
      <w:pPr>
        <w:spacing w:after="0" w:line="240" w:lineRule="auto"/>
        <w:jc w:val="both"/>
        <w:rPr>
          <w:rFonts w:ascii="Arial" w:hAnsi="Arial" w:cs="Arial"/>
          <w:sz w:val="24"/>
          <w:szCs w:val="24"/>
        </w:rPr>
      </w:pPr>
      <w:r>
        <w:rPr>
          <w:rFonts w:ascii="Arial" w:hAnsi="Arial" w:cs="Arial"/>
          <w:sz w:val="24"/>
          <w:szCs w:val="24"/>
        </w:rPr>
        <w:t xml:space="preserve">Realizan mensualmente evaluación y capacitaciones </w:t>
      </w:r>
      <w:r w:rsidR="00C30D4E">
        <w:rPr>
          <w:rFonts w:ascii="Arial" w:hAnsi="Arial" w:cs="Arial"/>
          <w:sz w:val="24"/>
          <w:szCs w:val="24"/>
        </w:rPr>
        <w:t>relacionadas con la</w:t>
      </w:r>
      <w:r>
        <w:rPr>
          <w:rFonts w:ascii="Arial" w:hAnsi="Arial" w:cs="Arial"/>
          <w:sz w:val="24"/>
          <w:szCs w:val="24"/>
        </w:rPr>
        <w:t xml:space="preserve"> elaboración de la historia clínica y el uso adecuado de la misma</w:t>
      </w:r>
      <w:r w:rsidR="00C30D4E">
        <w:rPr>
          <w:rFonts w:ascii="Arial" w:hAnsi="Arial" w:cs="Arial"/>
          <w:sz w:val="24"/>
          <w:szCs w:val="24"/>
        </w:rPr>
        <w:t xml:space="preserve">, </w:t>
      </w:r>
      <w:r>
        <w:rPr>
          <w:rFonts w:ascii="Arial" w:hAnsi="Arial" w:cs="Arial"/>
          <w:sz w:val="24"/>
          <w:szCs w:val="24"/>
        </w:rPr>
        <w:t xml:space="preserve">junto con el </w:t>
      </w:r>
      <w:r w:rsidR="00C30D4E">
        <w:rPr>
          <w:rFonts w:ascii="Arial" w:hAnsi="Arial" w:cs="Arial"/>
          <w:sz w:val="24"/>
          <w:szCs w:val="24"/>
        </w:rPr>
        <w:t>seguimiento</w:t>
      </w:r>
      <w:r>
        <w:rPr>
          <w:rFonts w:ascii="Arial" w:hAnsi="Arial" w:cs="Arial"/>
          <w:sz w:val="24"/>
          <w:szCs w:val="24"/>
        </w:rPr>
        <w:t xml:space="preserve"> a las </w:t>
      </w:r>
      <w:r w:rsidR="00C30D4E">
        <w:rPr>
          <w:rFonts w:ascii="Arial" w:hAnsi="Arial" w:cs="Arial"/>
          <w:sz w:val="24"/>
          <w:szCs w:val="24"/>
        </w:rPr>
        <w:t xml:space="preserve">guías de manejo </w:t>
      </w:r>
      <w:r>
        <w:rPr>
          <w:rFonts w:ascii="Arial" w:hAnsi="Arial" w:cs="Arial"/>
          <w:sz w:val="24"/>
          <w:szCs w:val="24"/>
        </w:rPr>
        <w:t>y protocolos</w:t>
      </w:r>
      <w:r w:rsidR="00C30D4E">
        <w:rPr>
          <w:rFonts w:ascii="Arial" w:hAnsi="Arial" w:cs="Arial"/>
          <w:sz w:val="24"/>
          <w:szCs w:val="24"/>
        </w:rPr>
        <w:t xml:space="preserve"> de la IPS, los cuales se evidencian con actas, evaluaciones e informes a la alta dirección.</w:t>
      </w:r>
    </w:p>
    <w:p w14:paraId="47B3AF31" w14:textId="4EE91428" w:rsidR="00C30D4E" w:rsidRDefault="00C30D4E" w:rsidP="00D40C1B">
      <w:pPr>
        <w:spacing w:after="0" w:line="240" w:lineRule="auto"/>
        <w:jc w:val="both"/>
        <w:rPr>
          <w:rFonts w:ascii="Arial" w:hAnsi="Arial" w:cs="Arial"/>
          <w:sz w:val="24"/>
          <w:szCs w:val="24"/>
        </w:rPr>
      </w:pPr>
    </w:p>
    <w:p w14:paraId="5EB72523" w14:textId="0C6BC995" w:rsidR="00C30D4E" w:rsidRDefault="00C30D4E" w:rsidP="00D40C1B">
      <w:pPr>
        <w:spacing w:after="0" w:line="240" w:lineRule="auto"/>
        <w:jc w:val="both"/>
        <w:rPr>
          <w:rFonts w:ascii="Arial" w:hAnsi="Arial" w:cs="Arial"/>
          <w:sz w:val="24"/>
          <w:szCs w:val="24"/>
        </w:rPr>
      </w:pPr>
      <w:r>
        <w:rPr>
          <w:rFonts w:ascii="Arial" w:hAnsi="Arial" w:cs="Arial"/>
          <w:sz w:val="24"/>
          <w:szCs w:val="24"/>
        </w:rPr>
        <w:t xml:space="preserve">Se evidencia en la visita que la IPS está dando soporte a la región, siendo la ciudad de montería un lugar geográficamente estratégico para la zona; donde se deben cubrir las necesidades de la población a nivel clínico, social y económico tanto del departamento de Córdoba como de los departamentos con los que limita. </w:t>
      </w:r>
    </w:p>
    <w:p w14:paraId="6F29885D" w14:textId="77777777" w:rsidR="003B3E95" w:rsidRDefault="003B3E95" w:rsidP="00D40C1B">
      <w:pPr>
        <w:spacing w:after="0" w:line="240" w:lineRule="auto"/>
        <w:jc w:val="both"/>
        <w:rPr>
          <w:rFonts w:ascii="Arial" w:hAnsi="Arial" w:cs="Arial"/>
          <w:sz w:val="24"/>
          <w:szCs w:val="24"/>
        </w:rPr>
      </w:pPr>
    </w:p>
    <w:p w14:paraId="7CFFC074" w14:textId="7F1B41D3" w:rsidR="00A7078D" w:rsidRPr="003B3E95" w:rsidRDefault="00A7078D" w:rsidP="00E823D9">
      <w:pPr>
        <w:spacing w:after="0" w:line="240" w:lineRule="auto"/>
        <w:jc w:val="both"/>
        <w:rPr>
          <w:rFonts w:ascii="Arial" w:hAnsi="Arial" w:cs="Arial"/>
          <w:b/>
          <w:bCs/>
          <w:sz w:val="24"/>
          <w:szCs w:val="24"/>
        </w:rPr>
      </w:pPr>
    </w:p>
    <w:p w14:paraId="7527E79E" w14:textId="5C4D7A30" w:rsidR="00437F01" w:rsidRPr="003B3E95" w:rsidRDefault="00781FBF" w:rsidP="00E823D9">
      <w:pPr>
        <w:spacing w:after="0" w:line="240" w:lineRule="auto"/>
        <w:jc w:val="both"/>
        <w:rPr>
          <w:rFonts w:ascii="Arial" w:hAnsi="Arial" w:cs="Arial"/>
          <w:b/>
          <w:bCs/>
          <w:sz w:val="24"/>
          <w:szCs w:val="24"/>
        </w:rPr>
      </w:pPr>
      <w:r w:rsidRPr="003B3E95">
        <w:rPr>
          <w:rFonts w:ascii="Arial" w:hAnsi="Arial" w:cs="Arial"/>
          <w:b/>
          <w:bCs/>
          <w:sz w:val="24"/>
          <w:szCs w:val="24"/>
        </w:rPr>
        <w:t>Componente de auditoría Médica concurrente</w:t>
      </w:r>
    </w:p>
    <w:p w14:paraId="0CFD3C17" w14:textId="77777777" w:rsidR="00A7078D" w:rsidRPr="003B3E95" w:rsidRDefault="00A7078D" w:rsidP="00E823D9">
      <w:pPr>
        <w:spacing w:after="0" w:line="240" w:lineRule="auto"/>
        <w:jc w:val="both"/>
        <w:rPr>
          <w:rFonts w:ascii="Arial" w:hAnsi="Arial" w:cs="Arial"/>
          <w:b/>
          <w:bCs/>
          <w:sz w:val="24"/>
          <w:szCs w:val="24"/>
        </w:rPr>
      </w:pPr>
    </w:p>
    <w:p w14:paraId="0351F1C9" w14:textId="35648687" w:rsidR="00861B9C" w:rsidRDefault="7C5CB8DC" w:rsidP="00944E50">
      <w:pPr>
        <w:pStyle w:val="Ttulo1"/>
        <w:numPr>
          <w:ilvl w:val="0"/>
          <w:numId w:val="0"/>
        </w:numPr>
        <w:spacing w:before="0" w:line="240" w:lineRule="auto"/>
        <w:ind w:left="432" w:hanging="432"/>
        <w:jc w:val="both"/>
        <w:rPr>
          <w:rFonts w:ascii="Arial" w:hAnsi="Arial" w:cs="Arial"/>
          <w:b/>
          <w:bCs/>
          <w:color w:val="auto"/>
          <w:sz w:val="24"/>
          <w:szCs w:val="24"/>
        </w:rPr>
      </w:pPr>
      <w:bookmarkStart w:id="12" w:name="_Toc144728572"/>
      <w:bookmarkStart w:id="13" w:name="_Toc1862734232"/>
      <w:r w:rsidRPr="003B3E95">
        <w:rPr>
          <w:rFonts w:ascii="Arial" w:hAnsi="Arial" w:cs="Arial"/>
          <w:b/>
          <w:bCs/>
          <w:color w:val="auto"/>
          <w:sz w:val="24"/>
          <w:szCs w:val="24"/>
        </w:rPr>
        <w:t>Recomendaciones</w:t>
      </w:r>
      <w:bookmarkEnd w:id="12"/>
      <w:bookmarkEnd w:id="13"/>
    </w:p>
    <w:p w14:paraId="6C89BDB6" w14:textId="60F3A4A9" w:rsidR="00944E50" w:rsidRDefault="00944E50" w:rsidP="00944E50">
      <w:pPr>
        <w:jc w:val="both"/>
        <w:rPr>
          <w:rFonts w:ascii="Arial" w:hAnsi="Arial" w:cs="Arial"/>
        </w:rPr>
      </w:pPr>
      <w:r w:rsidRPr="00944E50">
        <w:rPr>
          <w:rFonts w:ascii="Arial" w:hAnsi="Arial" w:cs="Arial"/>
        </w:rPr>
        <w:t xml:space="preserve">Continuar </w:t>
      </w:r>
      <w:r>
        <w:rPr>
          <w:rFonts w:ascii="Arial" w:hAnsi="Arial" w:cs="Arial"/>
        </w:rPr>
        <w:t xml:space="preserve">con el fortalecimiento de las unidades clínicas en salud mental y Quemados; esto dado a la evidencia de la necesidad de la población en estas áreas como consecuencia del conflicto armado y a la presencia de minería en algunos departamentos con los que limita. </w:t>
      </w:r>
    </w:p>
    <w:p w14:paraId="7E00DD2E" w14:textId="77777777" w:rsidR="00944E50" w:rsidRPr="00944E50" w:rsidRDefault="00944E50" w:rsidP="00944E50">
      <w:pPr>
        <w:jc w:val="both"/>
        <w:rPr>
          <w:rFonts w:ascii="Arial" w:hAnsi="Arial" w:cs="Arial"/>
        </w:rPr>
      </w:pPr>
      <w:bookmarkStart w:id="14" w:name="_GoBack"/>
      <w:bookmarkEnd w:id="14"/>
    </w:p>
    <w:p w14:paraId="6551D612" w14:textId="77777777" w:rsidR="00265007" w:rsidRPr="003B3E95" w:rsidRDefault="00265007" w:rsidP="00761FB1">
      <w:pPr>
        <w:jc w:val="both"/>
        <w:rPr>
          <w:rFonts w:ascii="Arial" w:eastAsia="Arial" w:hAnsi="Arial" w:cs="Arial"/>
          <w:sz w:val="24"/>
          <w:szCs w:val="24"/>
        </w:rPr>
      </w:pPr>
    </w:p>
    <w:sectPr w:rsidR="00265007" w:rsidRPr="003B3E95" w:rsidSect="000F770F">
      <w:headerReference w:type="default" r:id="rId11"/>
      <w:footerReference w:type="default" r:id="rId12"/>
      <w:pgSz w:w="12240" w:h="15840" w:code="1"/>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BA00B" w14:textId="77777777" w:rsidR="00BE2F91" w:rsidRDefault="00BE2F91" w:rsidP="00933F10">
      <w:pPr>
        <w:spacing w:after="0" w:line="240" w:lineRule="auto"/>
      </w:pPr>
      <w:r>
        <w:separator/>
      </w:r>
    </w:p>
  </w:endnote>
  <w:endnote w:type="continuationSeparator" w:id="0">
    <w:p w14:paraId="084393BD" w14:textId="77777777" w:rsidR="00BE2F91" w:rsidRDefault="00BE2F91" w:rsidP="00933F10">
      <w:pPr>
        <w:spacing w:after="0" w:line="240" w:lineRule="auto"/>
      </w:pPr>
      <w:r>
        <w:continuationSeparator/>
      </w:r>
    </w:p>
  </w:endnote>
  <w:endnote w:type="continuationNotice" w:id="1">
    <w:p w14:paraId="1DC045E6" w14:textId="77777777" w:rsidR="00BE2F91" w:rsidRDefault="00BE2F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21910"/>
      <w:docPartObj>
        <w:docPartGallery w:val="Page Numbers (Bottom of Page)"/>
        <w:docPartUnique/>
      </w:docPartObj>
    </w:sdtPr>
    <w:sdtEndPr/>
    <w:sdtContent>
      <w:sdt>
        <w:sdtPr>
          <w:id w:val="-1769616900"/>
          <w:docPartObj>
            <w:docPartGallery w:val="Page Numbers (Top of Page)"/>
            <w:docPartUnique/>
          </w:docPartObj>
        </w:sdtPr>
        <w:sdtEndPr/>
        <w:sdtContent>
          <w:p w14:paraId="7B16516C" w14:textId="0A4CD230" w:rsidR="00A52E19" w:rsidRDefault="00A52E19">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BE2F91">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BE2F91">
              <w:rPr>
                <w:b/>
                <w:bCs/>
                <w:noProof/>
              </w:rPr>
              <w:t>1</w:t>
            </w:r>
            <w:r>
              <w:rPr>
                <w:b/>
                <w:bCs/>
                <w:sz w:val="24"/>
                <w:szCs w:val="24"/>
              </w:rPr>
              <w:fldChar w:fldCharType="end"/>
            </w:r>
          </w:p>
        </w:sdtContent>
      </w:sdt>
    </w:sdtContent>
  </w:sdt>
  <w:p w14:paraId="7542B9D0" w14:textId="77777777" w:rsidR="00A52E19" w:rsidRDefault="00A52E1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D96EA" w14:textId="77777777" w:rsidR="00BE2F91" w:rsidRDefault="00BE2F91" w:rsidP="00933F10">
      <w:pPr>
        <w:spacing w:after="0" w:line="240" w:lineRule="auto"/>
      </w:pPr>
      <w:r>
        <w:separator/>
      </w:r>
    </w:p>
  </w:footnote>
  <w:footnote w:type="continuationSeparator" w:id="0">
    <w:p w14:paraId="17E4F1D9" w14:textId="77777777" w:rsidR="00BE2F91" w:rsidRDefault="00BE2F91" w:rsidP="00933F10">
      <w:pPr>
        <w:spacing w:after="0" w:line="240" w:lineRule="auto"/>
      </w:pPr>
      <w:r>
        <w:continuationSeparator/>
      </w:r>
    </w:p>
  </w:footnote>
  <w:footnote w:type="continuationNotice" w:id="1">
    <w:p w14:paraId="4C2A6F57" w14:textId="77777777" w:rsidR="00BE2F91" w:rsidRDefault="00BE2F9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910" w:type="dxa"/>
      <w:tblLook w:val="04A0" w:firstRow="1" w:lastRow="0" w:firstColumn="1" w:lastColumn="0" w:noHBand="0" w:noVBand="1"/>
    </w:tblPr>
    <w:tblGrid>
      <w:gridCol w:w="2165"/>
      <w:gridCol w:w="5627"/>
      <w:gridCol w:w="1701"/>
      <w:gridCol w:w="1417"/>
    </w:tblGrid>
    <w:tr w:rsidR="00A52E19" w14:paraId="781E1961" w14:textId="77777777" w:rsidTr="00425797">
      <w:tc>
        <w:tcPr>
          <w:tcW w:w="2165" w:type="dxa"/>
          <w:vMerge w:val="restart"/>
        </w:tcPr>
        <w:p w14:paraId="23D7AF56" w14:textId="77777777" w:rsidR="00A52E19" w:rsidRDefault="00A52E19" w:rsidP="000C332E">
          <w:pPr>
            <w:pStyle w:val="Encabezado"/>
          </w:pPr>
          <w:r>
            <w:rPr>
              <w:noProof/>
              <w:lang w:val="en-US"/>
            </w:rPr>
            <w:drawing>
              <wp:anchor distT="0" distB="0" distL="114300" distR="114300" simplePos="0" relativeHeight="251659264" behindDoc="0" locked="0" layoutInCell="1" allowOverlap="1" wp14:anchorId="701FAEF0" wp14:editId="0A871B43">
                <wp:simplePos x="0" y="0"/>
                <wp:positionH relativeFrom="margin">
                  <wp:posOffset>-6350</wp:posOffset>
                </wp:positionH>
                <wp:positionV relativeFrom="margin">
                  <wp:posOffset>179070</wp:posOffset>
                </wp:positionV>
                <wp:extent cx="1190625" cy="409575"/>
                <wp:effectExtent l="0" t="0" r="0" b="0"/>
                <wp:wrapSquare wrapText="bothSides"/>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610" r="68899" b="-14244"/>
                        <a:stretch/>
                      </pic:blipFill>
                      <pic:spPr bwMode="auto">
                        <a:xfrm>
                          <a:off x="0" y="0"/>
                          <a:ext cx="1190625" cy="409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46E369C" w14:textId="77777777" w:rsidR="00A52E19" w:rsidRDefault="00A52E19" w:rsidP="000C332E">
          <w:pPr>
            <w:pStyle w:val="Encabezado"/>
          </w:pPr>
        </w:p>
      </w:tc>
      <w:tc>
        <w:tcPr>
          <w:tcW w:w="5627" w:type="dxa"/>
          <w:vMerge w:val="restart"/>
          <w:vAlign w:val="center"/>
        </w:tcPr>
        <w:p w14:paraId="3331B346" w14:textId="77777777" w:rsidR="00A52E19" w:rsidRPr="00C72CDD" w:rsidRDefault="00A52E19" w:rsidP="000C332E">
          <w:pPr>
            <w:pStyle w:val="Encabezado"/>
            <w:jc w:val="center"/>
            <w:rPr>
              <w:rFonts w:ascii="Verdana" w:hAnsi="Verdana"/>
              <w:b/>
              <w:bCs/>
              <w:sz w:val="20"/>
              <w:szCs w:val="20"/>
            </w:rPr>
          </w:pPr>
          <w:r w:rsidRPr="00C72CDD">
            <w:rPr>
              <w:rFonts w:ascii="Verdana" w:hAnsi="Verdana"/>
              <w:b/>
              <w:bCs/>
              <w:sz w:val="20"/>
              <w:szCs w:val="20"/>
            </w:rPr>
            <w:t>PROCESO VALIDACIÓN, LIQUIDACION Y RECONOCIMIENTO</w:t>
          </w:r>
        </w:p>
      </w:tc>
      <w:tc>
        <w:tcPr>
          <w:tcW w:w="1701" w:type="dxa"/>
        </w:tcPr>
        <w:p w14:paraId="14B74B8A" w14:textId="77777777" w:rsidR="00A52E19" w:rsidRPr="00C72CDD" w:rsidRDefault="00A52E19" w:rsidP="000C332E">
          <w:pPr>
            <w:pStyle w:val="Encabezado"/>
            <w:jc w:val="center"/>
            <w:rPr>
              <w:rFonts w:ascii="Verdana" w:hAnsi="Verdana"/>
              <w:b/>
              <w:bCs/>
              <w:sz w:val="20"/>
              <w:szCs w:val="20"/>
            </w:rPr>
          </w:pPr>
          <w:r w:rsidRPr="00C72CDD">
            <w:rPr>
              <w:rFonts w:ascii="Verdana" w:hAnsi="Verdana"/>
              <w:b/>
              <w:bCs/>
              <w:sz w:val="20"/>
              <w:szCs w:val="20"/>
            </w:rPr>
            <w:t>Código:</w:t>
          </w:r>
        </w:p>
      </w:tc>
      <w:tc>
        <w:tcPr>
          <w:tcW w:w="1417" w:type="dxa"/>
        </w:tcPr>
        <w:p w14:paraId="56D9AF12" w14:textId="77777777" w:rsidR="00A52E19" w:rsidRPr="00C72CDD" w:rsidRDefault="00A52E19" w:rsidP="000C332E">
          <w:pPr>
            <w:pStyle w:val="Encabezado"/>
            <w:jc w:val="center"/>
            <w:rPr>
              <w:rFonts w:ascii="Verdana" w:hAnsi="Verdana"/>
              <w:sz w:val="20"/>
              <w:szCs w:val="20"/>
            </w:rPr>
          </w:pPr>
          <w:r w:rsidRPr="00C72CDD">
            <w:rPr>
              <w:rFonts w:ascii="Verdana" w:hAnsi="Verdana"/>
              <w:sz w:val="20"/>
              <w:szCs w:val="20"/>
            </w:rPr>
            <w:t>VALR-FR</w:t>
          </w:r>
          <w:r>
            <w:rPr>
              <w:rFonts w:ascii="Verdana" w:hAnsi="Verdana"/>
              <w:sz w:val="20"/>
              <w:szCs w:val="20"/>
            </w:rPr>
            <w:t>4</w:t>
          </w:r>
          <w:r w:rsidRPr="00C72CDD">
            <w:rPr>
              <w:rFonts w:ascii="Verdana" w:hAnsi="Verdana"/>
              <w:sz w:val="20"/>
              <w:szCs w:val="20"/>
            </w:rPr>
            <w:t>9</w:t>
          </w:r>
        </w:p>
      </w:tc>
    </w:tr>
    <w:tr w:rsidR="00A52E19" w14:paraId="0BDBF5B3" w14:textId="77777777" w:rsidTr="00425797">
      <w:trPr>
        <w:trHeight w:val="131"/>
      </w:trPr>
      <w:tc>
        <w:tcPr>
          <w:tcW w:w="2165" w:type="dxa"/>
          <w:vMerge/>
        </w:tcPr>
        <w:p w14:paraId="35C0A842" w14:textId="77777777" w:rsidR="00A52E19" w:rsidRDefault="00A52E19" w:rsidP="000C332E">
          <w:pPr>
            <w:pStyle w:val="Encabezado"/>
          </w:pPr>
        </w:p>
      </w:tc>
      <w:tc>
        <w:tcPr>
          <w:tcW w:w="5627" w:type="dxa"/>
          <w:vMerge/>
        </w:tcPr>
        <w:p w14:paraId="3B03B5EE" w14:textId="77777777" w:rsidR="00A52E19" w:rsidRPr="00C72CDD" w:rsidRDefault="00A52E19" w:rsidP="000C332E">
          <w:pPr>
            <w:pStyle w:val="Encabezado"/>
            <w:jc w:val="center"/>
            <w:rPr>
              <w:rFonts w:ascii="Verdana" w:hAnsi="Verdana"/>
              <w:b/>
              <w:bCs/>
              <w:sz w:val="20"/>
              <w:szCs w:val="20"/>
            </w:rPr>
          </w:pPr>
        </w:p>
      </w:tc>
      <w:tc>
        <w:tcPr>
          <w:tcW w:w="1701" w:type="dxa"/>
        </w:tcPr>
        <w:p w14:paraId="18675004" w14:textId="77777777" w:rsidR="00A52E19" w:rsidRPr="00C72CDD" w:rsidRDefault="00A52E19" w:rsidP="000C332E">
          <w:pPr>
            <w:pStyle w:val="Encabezado"/>
            <w:jc w:val="center"/>
            <w:rPr>
              <w:rFonts w:ascii="Verdana" w:hAnsi="Verdana"/>
              <w:b/>
              <w:bCs/>
              <w:sz w:val="20"/>
              <w:szCs w:val="20"/>
            </w:rPr>
          </w:pPr>
          <w:r w:rsidRPr="00C72CDD">
            <w:rPr>
              <w:rFonts w:ascii="Verdana" w:hAnsi="Verdana"/>
              <w:b/>
              <w:bCs/>
              <w:sz w:val="20"/>
              <w:szCs w:val="20"/>
            </w:rPr>
            <w:t>Versión:</w:t>
          </w:r>
        </w:p>
      </w:tc>
      <w:tc>
        <w:tcPr>
          <w:tcW w:w="1417" w:type="dxa"/>
        </w:tcPr>
        <w:p w14:paraId="4E757A26" w14:textId="03A13AB9" w:rsidR="00A52E19" w:rsidRPr="00C72CDD" w:rsidRDefault="00A52E19" w:rsidP="000C332E">
          <w:pPr>
            <w:pStyle w:val="Encabezado"/>
            <w:jc w:val="center"/>
            <w:rPr>
              <w:rFonts w:ascii="Verdana" w:hAnsi="Verdana"/>
              <w:sz w:val="20"/>
              <w:szCs w:val="20"/>
            </w:rPr>
          </w:pPr>
          <w:r w:rsidRPr="00C72CDD">
            <w:rPr>
              <w:rFonts w:ascii="Verdana" w:hAnsi="Verdana"/>
              <w:sz w:val="20"/>
              <w:szCs w:val="20"/>
            </w:rPr>
            <w:t>0</w:t>
          </w:r>
          <w:r>
            <w:rPr>
              <w:rFonts w:ascii="Verdana" w:hAnsi="Verdana"/>
              <w:sz w:val="20"/>
              <w:szCs w:val="20"/>
            </w:rPr>
            <w:t>2</w:t>
          </w:r>
        </w:p>
      </w:tc>
    </w:tr>
    <w:tr w:rsidR="00A52E19" w14:paraId="220D37BA" w14:textId="77777777" w:rsidTr="00425797">
      <w:tc>
        <w:tcPr>
          <w:tcW w:w="2165" w:type="dxa"/>
          <w:vMerge/>
        </w:tcPr>
        <w:p w14:paraId="106D8B1A" w14:textId="77777777" w:rsidR="00A52E19" w:rsidRDefault="00A52E19" w:rsidP="000C332E">
          <w:pPr>
            <w:pStyle w:val="Encabezado"/>
          </w:pPr>
        </w:p>
      </w:tc>
      <w:tc>
        <w:tcPr>
          <w:tcW w:w="5627" w:type="dxa"/>
          <w:vAlign w:val="center"/>
        </w:tcPr>
        <w:p w14:paraId="557E2B54" w14:textId="77777777" w:rsidR="00A52E19" w:rsidRPr="00C72CDD" w:rsidRDefault="00A52E19" w:rsidP="000C332E">
          <w:pPr>
            <w:pStyle w:val="Encabezado"/>
            <w:jc w:val="center"/>
            <w:rPr>
              <w:rFonts w:ascii="Verdana" w:hAnsi="Verdana"/>
              <w:b/>
              <w:bCs/>
              <w:sz w:val="20"/>
              <w:szCs w:val="20"/>
            </w:rPr>
          </w:pPr>
          <w:r w:rsidRPr="00C72CDD">
            <w:rPr>
              <w:rFonts w:ascii="Verdana" w:hAnsi="Verdana"/>
              <w:b/>
              <w:bCs/>
              <w:sz w:val="20"/>
              <w:szCs w:val="20"/>
            </w:rPr>
            <w:t>INFORME DE AUDITORÍA DE CAMPO</w:t>
          </w:r>
        </w:p>
      </w:tc>
      <w:tc>
        <w:tcPr>
          <w:tcW w:w="1701" w:type="dxa"/>
          <w:vAlign w:val="center"/>
        </w:tcPr>
        <w:p w14:paraId="645108E9" w14:textId="77777777" w:rsidR="00A52E19" w:rsidRPr="00C72CDD" w:rsidRDefault="00A52E19" w:rsidP="000C332E">
          <w:pPr>
            <w:pStyle w:val="Encabezado"/>
            <w:jc w:val="center"/>
            <w:rPr>
              <w:rFonts w:ascii="Verdana" w:hAnsi="Verdana"/>
              <w:b/>
              <w:bCs/>
              <w:sz w:val="20"/>
              <w:szCs w:val="20"/>
            </w:rPr>
          </w:pPr>
          <w:r w:rsidRPr="00C72CDD">
            <w:rPr>
              <w:rFonts w:ascii="Verdana" w:hAnsi="Verdana"/>
              <w:b/>
              <w:bCs/>
              <w:sz w:val="20"/>
              <w:szCs w:val="20"/>
            </w:rPr>
            <w:t>Fecha:</w:t>
          </w:r>
        </w:p>
      </w:tc>
      <w:tc>
        <w:tcPr>
          <w:tcW w:w="1417" w:type="dxa"/>
          <w:vAlign w:val="center"/>
        </w:tcPr>
        <w:p w14:paraId="13CFB2DB" w14:textId="4F3F7D34" w:rsidR="00A52E19" w:rsidRPr="00C72CDD" w:rsidRDefault="00A52E19" w:rsidP="000C332E">
          <w:pPr>
            <w:pStyle w:val="Encabezado"/>
            <w:jc w:val="center"/>
            <w:rPr>
              <w:rFonts w:ascii="Verdana" w:hAnsi="Verdana"/>
              <w:sz w:val="20"/>
              <w:szCs w:val="20"/>
            </w:rPr>
          </w:pPr>
          <w:r w:rsidRPr="002D42BE">
            <w:rPr>
              <w:rFonts w:ascii="Verdana" w:hAnsi="Verdana"/>
              <w:sz w:val="20"/>
              <w:szCs w:val="20"/>
            </w:rPr>
            <w:t>07-03-2024</w:t>
          </w:r>
        </w:p>
      </w:tc>
    </w:tr>
  </w:tbl>
  <w:p w14:paraId="35EA42EF" w14:textId="77777777" w:rsidR="00A52E19" w:rsidRDefault="00A52E19">
    <w:pPr>
      <w:pStyle w:val="Encabezado"/>
    </w:pPr>
  </w:p>
</w:hdr>
</file>

<file path=word/intelligence2.xml><?xml version="1.0" encoding="utf-8"?>
<int2:intelligence xmlns:int2="http://schemas.microsoft.com/office/intelligence/2020/intelligence" xmlns:oel="http://schemas.microsoft.com/office/2019/extlst">
  <int2:observations>
    <int2:textHash int2:hashCode="cMiB1KJphN3OeV" int2:id="wMGcrCUw">
      <int2:state int2:value="Rejected" int2:type="AugLoop_Text_Critique"/>
    </int2:textHash>
    <int2:textHash int2:hashCode="fiQN50+x7Qj6CN" int2:id="x2OL3bf1">
      <int2:state int2:value="Rejected" int2:type="AugLoop_Text_Critique"/>
    </int2:textHash>
    <int2:bookmark int2:bookmarkName="_Int_Fx6Ccf8d" int2:invalidationBookmarkName="" int2:hashCode="EyVqog3QQqi2fh" int2:id="6p6nCDka">
      <int2:state int2:value="Rejected" int2:type="AugLoop_Text_Critique"/>
    </int2:bookmark>
    <int2:bookmark int2:bookmarkName="_Int_Rqmanwik" int2:invalidationBookmarkName="" int2:hashCode="OIrRwxKkiO6eEp" int2:id="BZOvS6tU">
      <int2:state int2:value="Rejected" int2:type="AugLoop_Text_Critique"/>
    </int2:bookmark>
    <int2:bookmark int2:bookmarkName="_Int_Nv28qdjN" int2:invalidationBookmarkName="" int2:hashCode="X6u6xF46Ce86Yt" int2:id="CdxnoZOv">
      <int2:state int2:value="Rejected" int2:type="AugLoop_Acronyms_AcronymsCritique"/>
    </int2:bookmark>
    <int2:bookmark int2:bookmarkName="_Int_DKLYOhfJ" int2:invalidationBookmarkName="" int2:hashCode="OIrRwxKkiO6eEp" int2:id="N4vJcdR1">
      <int2:state int2:value="Rejected" int2:type="AugLoop_Text_Critique"/>
    </int2:bookmark>
    <int2:bookmark int2:bookmarkName="_Int_0NlyhW3d" int2:invalidationBookmarkName="" int2:hashCode="AD3Igl4dicU3V9" int2:id="RI3qpkIf">
      <int2:state int2:value="Rejected" int2:type="AugLoop_Acronyms_AcronymsCritique"/>
    </int2:bookmark>
    <int2:bookmark int2:bookmarkName="_Int_RvMgvrH1" int2:invalidationBookmarkName="" int2:hashCode="OIrRwxKkiO6eEp" int2:id="hG5Drjbv">
      <int2:state int2:value="Rejected" int2:type="AugLoop_Text_Critique"/>
    </int2:bookmark>
    <int2:bookmark int2:bookmarkName="_Int_pIhDfWyU" int2:invalidationBookmarkName="" int2:hashCode="yuIDgEbnbAm+K3" int2:id="jsX8qqIG">
      <int2:state int2:value="Rejected" int2:type="AugLoop_Text_Critique"/>
    </int2:bookmark>
    <int2:bookmark int2:bookmarkName="_Int_pXhk2XXk" int2:invalidationBookmarkName="" int2:hashCode="OIrRwxKkiO6eEp" int2:id="mOVPFIp0">
      <int2:state int2:value="Rejected" int2:type="AugLoop_Text_Critique"/>
    </int2:bookmark>
    <int2:bookmark int2:bookmarkName="_Int_XJlqS0nd" int2:invalidationBookmarkName="" int2:hashCode="nzwQkYqUb3DMHK" int2:id="spcIUQjA">
      <int2:state int2:value="Rejected" int2:type="AugLoop_Acronyms_AcronymsCritique"/>
    </int2:bookmark>
    <int2:bookmark int2:bookmarkName="_Int_LdqUXwGr" int2:invalidationBookmarkName="" int2:hashCode="OIrRwxKkiO6eEp" int2:id="zcpPhgh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BA61"/>
    <w:multiLevelType w:val="hybridMultilevel"/>
    <w:tmpl w:val="83C21E04"/>
    <w:lvl w:ilvl="0" w:tplc="EF7AB3A2">
      <w:start w:val="1"/>
      <w:numFmt w:val="bullet"/>
      <w:lvlText w:val=""/>
      <w:lvlJc w:val="left"/>
      <w:pPr>
        <w:ind w:left="720" w:hanging="360"/>
      </w:pPr>
      <w:rPr>
        <w:rFonts w:ascii="Symbol" w:hAnsi="Symbol" w:hint="default"/>
      </w:rPr>
    </w:lvl>
    <w:lvl w:ilvl="1" w:tplc="DA3237A2">
      <w:start w:val="1"/>
      <w:numFmt w:val="bullet"/>
      <w:lvlText w:val="o"/>
      <w:lvlJc w:val="left"/>
      <w:pPr>
        <w:ind w:left="1440" w:hanging="360"/>
      </w:pPr>
      <w:rPr>
        <w:rFonts w:ascii="Courier New" w:hAnsi="Courier New" w:hint="default"/>
      </w:rPr>
    </w:lvl>
    <w:lvl w:ilvl="2" w:tplc="9FDAF8A6">
      <w:start w:val="1"/>
      <w:numFmt w:val="bullet"/>
      <w:lvlText w:val=""/>
      <w:lvlJc w:val="left"/>
      <w:pPr>
        <w:ind w:left="2160" w:hanging="360"/>
      </w:pPr>
      <w:rPr>
        <w:rFonts w:ascii="Wingdings" w:hAnsi="Wingdings" w:hint="default"/>
      </w:rPr>
    </w:lvl>
    <w:lvl w:ilvl="3" w:tplc="A5DC9080">
      <w:start w:val="1"/>
      <w:numFmt w:val="bullet"/>
      <w:lvlText w:val=""/>
      <w:lvlJc w:val="left"/>
      <w:pPr>
        <w:ind w:left="2880" w:hanging="360"/>
      </w:pPr>
      <w:rPr>
        <w:rFonts w:ascii="Symbol" w:hAnsi="Symbol" w:hint="default"/>
      </w:rPr>
    </w:lvl>
    <w:lvl w:ilvl="4" w:tplc="F530F4C4">
      <w:start w:val="1"/>
      <w:numFmt w:val="bullet"/>
      <w:lvlText w:val="o"/>
      <w:lvlJc w:val="left"/>
      <w:pPr>
        <w:ind w:left="3600" w:hanging="360"/>
      </w:pPr>
      <w:rPr>
        <w:rFonts w:ascii="Courier New" w:hAnsi="Courier New" w:hint="default"/>
      </w:rPr>
    </w:lvl>
    <w:lvl w:ilvl="5" w:tplc="885256CC">
      <w:start w:val="1"/>
      <w:numFmt w:val="bullet"/>
      <w:lvlText w:val=""/>
      <w:lvlJc w:val="left"/>
      <w:pPr>
        <w:ind w:left="4320" w:hanging="360"/>
      </w:pPr>
      <w:rPr>
        <w:rFonts w:ascii="Wingdings" w:hAnsi="Wingdings" w:hint="default"/>
      </w:rPr>
    </w:lvl>
    <w:lvl w:ilvl="6" w:tplc="25069BDE">
      <w:start w:val="1"/>
      <w:numFmt w:val="bullet"/>
      <w:lvlText w:val=""/>
      <w:lvlJc w:val="left"/>
      <w:pPr>
        <w:ind w:left="5040" w:hanging="360"/>
      </w:pPr>
      <w:rPr>
        <w:rFonts w:ascii="Symbol" w:hAnsi="Symbol" w:hint="default"/>
      </w:rPr>
    </w:lvl>
    <w:lvl w:ilvl="7" w:tplc="1CECEAAE">
      <w:start w:val="1"/>
      <w:numFmt w:val="bullet"/>
      <w:lvlText w:val="o"/>
      <w:lvlJc w:val="left"/>
      <w:pPr>
        <w:ind w:left="5760" w:hanging="360"/>
      </w:pPr>
      <w:rPr>
        <w:rFonts w:ascii="Courier New" w:hAnsi="Courier New" w:hint="default"/>
      </w:rPr>
    </w:lvl>
    <w:lvl w:ilvl="8" w:tplc="C45A5C4C">
      <w:start w:val="1"/>
      <w:numFmt w:val="bullet"/>
      <w:lvlText w:val=""/>
      <w:lvlJc w:val="left"/>
      <w:pPr>
        <w:ind w:left="6480" w:hanging="360"/>
      </w:pPr>
      <w:rPr>
        <w:rFonts w:ascii="Wingdings" w:hAnsi="Wingdings" w:hint="default"/>
      </w:rPr>
    </w:lvl>
  </w:abstractNum>
  <w:abstractNum w:abstractNumId="1" w15:restartNumberingAfterBreak="0">
    <w:nsid w:val="08734B62"/>
    <w:multiLevelType w:val="hybridMultilevel"/>
    <w:tmpl w:val="7BFE5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3110E"/>
    <w:multiLevelType w:val="hybridMultilevel"/>
    <w:tmpl w:val="44EC6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2216"/>
    <w:multiLevelType w:val="hybridMultilevel"/>
    <w:tmpl w:val="DD102E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0BB1B73"/>
    <w:multiLevelType w:val="hybridMultilevel"/>
    <w:tmpl w:val="0A940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214C2"/>
    <w:multiLevelType w:val="hybridMultilevel"/>
    <w:tmpl w:val="3DC64800"/>
    <w:lvl w:ilvl="0" w:tplc="3632A5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E3CFB"/>
    <w:multiLevelType w:val="hybridMultilevel"/>
    <w:tmpl w:val="4652275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1CF1E67D"/>
    <w:multiLevelType w:val="multilevel"/>
    <w:tmpl w:val="BF7A2FB0"/>
    <w:lvl w:ilvl="0">
      <w:numFmt w:val="none"/>
      <w:lvlText w:val=""/>
      <w:lvlJc w:val="left"/>
      <w:pPr>
        <w:tabs>
          <w:tab w:val="num" w:pos="360"/>
        </w:tabs>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24102947"/>
    <w:multiLevelType w:val="hybridMultilevel"/>
    <w:tmpl w:val="97343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2023D"/>
    <w:multiLevelType w:val="hybridMultilevel"/>
    <w:tmpl w:val="99A620EA"/>
    <w:lvl w:ilvl="0" w:tplc="2786AE20">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B755F1"/>
    <w:multiLevelType w:val="multilevel"/>
    <w:tmpl w:val="795E8BBE"/>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2C3C3A84"/>
    <w:multiLevelType w:val="hybridMultilevel"/>
    <w:tmpl w:val="0A0492DA"/>
    <w:lvl w:ilvl="0" w:tplc="83AAA686">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0053C"/>
    <w:multiLevelType w:val="hybridMultilevel"/>
    <w:tmpl w:val="2266F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6468DD"/>
    <w:multiLevelType w:val="hybridMultilevel"/>
    <w:tmpl w:val="4B069F9E"/>
    <w:lvl w:ilvl="0" w:tplc="EFB0C3F8">
      <w:start w:val="1"/>
      <w:numFmt w:val="bullet"/>
      <w:lvlText w:val=""/>
      <w:lvlJc w:val="left"/>
      <w:pPr>
        <w:ind w:left="720" w:hanging="360"/>
      </w:pPr>
      <w:rPr>
        <w:rFonts w:ascii="Symbol" w:hAnsi="Symbol" w:hint="default"/>
      </w:rPr>
    </w:lvl>
    <w:lvl w:ilvl="1" w:tplc="AF7E0E6A">
      <w:start w:val="1"/>
      <w:numFmt w:val="bullet"/>
      <w:lvlText w:val="o"/>
      <w:lvlJc w:val="left"/>
      <w:pPr>
        <w:ind w:left="1440" w:hanging="360"/>
      </w:pPr>
      <w:rPr>
        <w:rFonts w:ascii="Courier New" w:hAnsi="Courier New" w:hint="default"/>
      </w:rPr>
    </w:lvl>
    <w:lvl w:ilvl="2" w:tplc="419EB2A8">
      <w:start w:val="1"/>
      <w:numFmt w:val="bullet"/>
      <w:lvlText w:val=""/>
      <w:lvlJc w:val="left"/>
      <w:pPr>
        <w:ind w:left="2160" w:hanging="360"/>
      </w:pPr>
      <w:rPr>
        <w:rFonts w:ascii="Wingdings" w:hAnsi="Wingdings" w:hint="default"/>
      </w:rPr>
    </w:lvl>
    <w:lvl w:ilvl="3" w:tplc="8AC89F1C">
      <w:start w:val="1"/>
      <w:numFmt w:val="bullet"/>
      <w:lvlText w:val=""/>
      <w:lvlJc w:val="left"/>
      <w:pPr>
        <w:ind w:left="2880" w:hanging="360"/>
      </w:pPr>
      <w:rPr>
        <w:rFonts w:ascii="Symbol" w:hAnsi="Symbol" w:hint="default"/>
      </w:rPr>
    </w:lvl>
    <w:lvl w:ilvl="4" w:tplc="71AA01B2">
      <w:start w:val="1"/>
      <w:numFmt w:val="bullet"/>
      <w:lvlText w:val="o"/>
      <w:lvlJc w:val="left"/>
      <w:pPr>
        <w:ind w:left="3600" w:hanging="360"/>
      </w:pPr>
      <w:rPr>
        <w:rFonts w:ascii="Courier New" w:hAnsi="Courier New" w:hint="default"/>
      </w:rPr>
    </w:lvl>
    <w:lvl w:ilvl="5" w:tplc="80B4FEAE">
      <w:start w:val="1"/>
      <w:numFmt w:val="bullet"/>
      <w:lvlText w:val=""/>
      <w:lvlJc w:val="left"/>
      <w:pPr>
        <w:ind w:left="4320" w:hanging="360"/>
      </w:pPr>
      <w:rPr>
        <w:rFonts w:ascii="Wingdings" w:hAnsi="Wingdings" w:hint="default"/>
      </w:rPr>
    </w:lvl>
    <w:lvl w:ilvl="6" w:tplc="E4565B28">
      <w:start w:val="1"/>
      <w:numFmt w:val="bullet"/>
      <w:lvlText w:val=""/>
      <w:lvlJc w:val="left"/>
      <w:pPr>
        <w:ind w:left="5040" w:hanging="360"/>
      </w:pPr>
      <w:rPr>
        <w:rFonts w:ascii="Symbol" w:hAnsi="Symbol" w:hint="default"/>
      </w:rPr>
    </w:lvl>
    <w:lvl w:ilvl="7" w:tplc="6ACC7B74">
      <w:start w:val="1"/>
      <w:numFmt w:val="bullet"/>
      <w:lvlText w:val="o"/>
      <w:lvlJc w:val="left"/>
      <w:pPr>
        <w:ind w:left="5760" w:hanging="360"/>
      </w:pPr>
      <w:rPr>
        <w:rFonts w:ascii="Courier New" w:hAnsi="Courier New" w:hint="default"/>
      </w:rPr>
    </w:lvl>
    <w:lvl w:ilvl="8" w:tplc="9AE60BA0">
      <w:start w:val="1"/>
      <w:numFmt w:val="bullet"/>
      <w:lvlText w:val=""/>
      <w:lvlJc w:val="left"/>
      <w:pPr>
        <w:ind w:left="6480" w:hanging="360"/>
      </w:pPr>
      <w:rPr>
        <w:rFonts w:ascii="Wingdings" w:hAnsi="Wingdings" w:hint="default"/>
      </w:rPr>
    </w:lvl>
  </w:abstractNum>
  <w:abstractNum w:abstractNumId="14" w15:restartNumberingAfterBreak="0">
    <w:nsid w:val="39E0029B"/>
    <w:multiLevelType w:val="hybridMultilevel"/>
    <w:tmpl w:val="960E1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F5333F"/>
    <w:multiLevelType w:val="hybridMultilevel"/>
    <w:tmpl w:val="407E8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25E2E"/>
    <w:multiLevelType w:val="hybridMultilevel"/>
    <w:tmpl w:val="E404EC1A"/>
    <w:lvl w:ilvl="0" w:tplc="1E2CF086">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37003D"/>
    <w:multiLevelType w:val="hybridMultilevel"/>
    <w:tmpl w:val="11B83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99538B"/>
    <w:multiLevelType w:val="hybridMultilevel"/>
    <w:tmpl w:val="0FA23AF6"/>
    <w:lvl w:ilvl="0" w:tplc="E8CEDC4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EE1862"/>
    <w:multiLevelType w:val="hybridMultilevel"/>
    <w:tmpl w:val="332A5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636E8"/>
    <w:multiLevelType w:val="hybridMultilevel"/>
    <w:tmpl w:val="055AB6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84BEB9"/>
    <w:multiLevelType w:val="hybridMultilevel"/>
    <w:tmpl w:val="123E2002"/>
    <w:lvl w:ilvl="0" w:tplc="330CC8A6">
      <w:start w:val="1"/>
      <w:numFmt w:val="bullet"/>
      <w:lvlText w:val=""/>
      <w:lvlJc w:val="left"/>
      <w:pPr>
        <w:ind w:left="720" w:hanging="360"/>
      </w:pPr>
      <w:rPr>
        <w:rFonts w:ascii="Symbol" w:hAnsi="Symbol" w:hint="default"/>
      </w:rPr>
    </w:lvl>
    <w:lvl w:ilvl="1" w:tplc="4694244C">
      <w:start w:val="1"/>
      <w:numFmt w:val="bullet"/>
      <w:lvlText w:val="o"/>
      <w:lvlJc w:val="left"/>
      <w:pPr>
        <w:ind w:left="1440" w:hanging="360"/>
      </w:pPr>
      <w:rPr>
        <w:rFonts w:ascii="Courier New" w:hAnsi="Courier New" w:hint="default"/>
      </w:rPr>
    </w:lvl>
    <w:lvl w:ilvl="2" w:tplc="B9FEED4A">
      <w:start w:val="1"/>
      <w:numFmt w:val="bullet"/>
      <w:lvlText w:val=""/>
      <w:lvlJc w:val="left"/>
      <w:pPr>
        <w:ind w:left="2160" w:hanging="360"/>
      </w:pPr>
      <w:rPr>
        <w:rFonts w:ascii="Wingdings" w:hAnsi="Wingdings" w:hint="default"/>
      </w:rPr>
    </w:lvl>
    <w:lvl w:ilvl="3" w:tplc="B56EBCEE">
      <w:start w:val="1"/>
      <w:numFmt w:val="bullet"/>
      <w:lvlText w:val=""/>
      <w:lvlJc w:val="left"/>
      <w:pPr>
        <w:ind w:left="2880" w:hanging="360"/>
      </w:pPr>
      <w:rPr>
        <w:rFonts w:ascii="Symbol" w:hAnsi="Symbol" w:hint="default"/>
      </w:rPr>
    </w:lvl>
    <w:lvl w:ilvl="4" w:tplc="90AEC56A">
      <w:start w:val="1"/>
      <w:numFmt w:val="bullet"/>
      <w:lvlText w:val="o"/>
      <w:lvlJc w:val="left"/>
      <w:pPr>
        <w:ind w:left="3600" w:hanging="360"/>
      </w:pPr>
      <w:rPr>
        <w:rFonts w:ascii="Courier New" w:hAnsi="Courier New" w:hint="default"/>
      </w:rPr>
    </w:lvl>
    <w:lvl w:ilvl="5" w:tplc="FF32D936">
      <w:start w:val="1"/>
      <w:numFmt w:val="bullet"/>
      <w:lvlText w:val=""/>
      <w:lvlJc w:val="left"/>
      <w:pPr>
        <w:ind w:left="4320" w:hanging="360"/>
      </w:pPr>
      <w:rPr>
        <w:rFonts w:ascii="Wingdings" w:hAnsi="Wingdings" w:hint="default"/>
      </w:rPr>
    </w:lvl>
    <w:lvl w:ilvl="6" w:tplc="855EE35A">
      <w:start w:val="1"/>
      <w:numFmt w:val="bullet"/>
      <w:lvlText w:val=""/>
      <w:lvlJc w:val="left"/>
      <w:pPr>
        <w:ind w:left="5040" w:hanging="360"/>
      </w:pPr>
      <w:rPr>
        <w:rFonts w:ascii="Symbol" w:hAnsi="Symbol" w:hint="default"/>
      </w:rPr>
    </w:lvl>
    <w:lvl w:ilvl="7" w:tplc="94AE4EB6">
      <w:start w:val="1"/>
      <w:numFmt w:val="bullet"/>
      <w:lvlText w:val="o"/>
      <w:lvlJc w:val="left"/>
      <w:pPr>
        <w:ind w:left="5760" w:hanging="360"/>
      </w:pPr>
      <w:rPr>
        <w:rFonts w:ascii="Courier New" w:hAnsi="Courier New" w:hint="default"/>
      </w:rPr>
    </w:lvl>
    <w:lvl w:ilvl="8" w:tplc="F2D8D0D0">
      <w:start w:val="1"/>
      <w:numFmt w:val="bullet"/>
      <w:lvlText w:val=""/>
      <w:lvlJc w:val="left"/>
      <w:pPr>
        <w:ind w:left="6480" w:hanging="360"/>
      </w:pPr>
      <w:rPr>
        <w:rFonts w:ascii="Wingdings" w:hAnsi="Wingdings" w:hint="default"/>
      </w:rPr>
    </w:lvl>
  </w:abstractNum>
  <w:abstractNum w:abstractNumId="22" w15:restartNumberingAfterBreak="0">
    <w:nsid w:val="5D031079"/>
    <w:multiLevelType w:val="hybridMultilevel"/>
    <w:tmpl w:val="0A500C20"/>
    <w:lvl w:ilvl="0" w:tplc="1A6A95DE">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941DE7"/>
    <w:multiLevelType w:val="hybridMultilevel"/>
    <w:tmpl w:val="AA200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7900A9"/>
    <w:multiLevelType w:val="hybridMultilevel"/>
    <w:tmpl w:val="2258E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0A2A30"/>
    <w:multiLevelType w:val="hybridMultilevel"/>
    <w:tmpl w:val="2CF63304"/>
    <w:lvl w:ilvl="0" w:tplc="7C740C50">
      <w:start w:val="4"/>
      <w:numFmt w:val="decimal"/>
      <w:lvlText w:val="%1."/>
      <w:lvlJc w:val="left"/>
      <w:pPr>
        <w:ind w:left="720" w:hanging="360"/>
      </w:pPr>
    </w:lvl>
    <w:lvl w:ilvl="1" w:tplc="B31844BE">
      <w:start w:val="1"/>
      <w:numFmt w:val="lowerLetter"/>
      <w:lvlText w:val="%2."/>
      <w:lvlJc w:val="left"/>
      <w:pPr>
        <w:ind w:left="1440" w:hanging="360"/>
      </w:pPr>
    </w:lvl>
    <w:lvl w:ilvl="2" w:tplc="B0FEADA2">
      <w:start w:val="1"/>
      <w:numFmt w:val="lowerRoman"/>
      <w:lvlText w:val="%3."/>
      <w:lvlJc w:val="right"/>
      <w:pPr>
        <w:ind w:left="2160" w:hanging="180"/>
      </w:pPr>
    </w:lvl>
    <w:lvl w:ilvl="3" w:tplc="C4044BEE">
      <w:start w:val="1"/>
      <w:numFmt w:val="decimal"/>
      <w:lvlText w:val="%4."/>
      <w:lvlJc w:val="left"/>
      <w:pPr>
        <w:ind w:left="2880" w:hanging="360"/>
      </w:pPr>
    </w:lvl>
    <w:lvl w:ilvl="4" w:tplc="3F38D60E">
      <w:start w:val="1"/>
      <w:numFmt w:val="lowerLetter"/>
      <w:lvlText w:val="%5."/>
      <w:lvlJc w:val="left"/>
      <w:pPr>
        <w:ind w:left="3600" w:hanging="360"/>
      </w:pPr>
    </w:lvl>
    <w:lvl w:ilvl="5" w:tplc="51324540">
      <w:start w:val="1"/>
      <w:numFmt w:val="lowerRoman"/>
      <w:lvlText w:val="%6."/>
      <w:lvlJc w:val="right"/>
      <w:pPr>
        <w:ind w:left="4320" w:hanging="180"/>
      </w:pPr>
    </w:lvl>
    <w:lvl w:ilvl="6" w:tplc="18FE2D1C">
      <w:start w:val="1"/>
      <w:numFmt w:val="decimal"/>
      <w:lvlText w:val="%7."/>
      <w:lvlJc w:val="left"/>
      <w:pPr>
        <w:ind w:left="5040" w:hanging="360"/>
      </w:pPr>
    </w:lvl>
    <w:lvl w:ilvl="7" w:tplc="16DC6822">
      <w:start w:val="1"/>
      <w:numFmt w:val="lowerLetter"/>
      <w:lvlText w:val="%8."/>
      <w:lvlJc w:val="left"/>
      <w:pPr>
        <w:ind w:left="5760" w:hanging="360"/>
      </w:pPr>
    </w:lvl>
    <w:lvl w:ilvl="8" w:tplc="4504077C">
      <w:start w:val="1"/>
      <w:numFmt w:val="lowerRoman"/>
      <w:lvlText w:val="%9."/>
      <w:lvlJc w:val="right"/>
      <w:pPr>
        <w:ind w:left="6480" w:hanging="180"/>
      </w:pPr>
    </w:lvl>
  </w:abstractNum>
  <w:abstractNum w:abstractNumId="26" w15:restartNumberingAfterBreak="0">
    <w:nsid w:val="7F9D71EA"/>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num w:numId="1">
    <w:abstractNumId w:val="25"/>
  </w:num>
  <w:num w:numId="2">
    <w:abstractNumId w:val="0"/>
  </w:num>
  <w:num w:numId="3">
    <w:abstractNumId w:val="13"/>
  </w:num>
  <w:num w:numId="4">
    <w:abstractNumId w:val="10"/>
  </w:num>
  <w:num w:numId="5">
    <w:abstractNumId w:val="21"/>
  </w:num>
  <w:num w:numId="6">
    <w:abstractNumId w:val="7"/>
  </w:num>
  <w:num w:numId="7">
    <w:abstractNumId w:val="26"/>
  </w:num>
  <w:num w:numId="8">
    <w:abstractNumId w:val="3"/>
  </w:num>
  <w:num w:numId="9">
    <w:abstractNumId w:val="6"/>
  </w:num>
  <w:num w:numId="10">
    <w:abstractNumId w:val="26"/>
  </w:num>
  <w:num w:numId="11">
    <w:abstractNumId w:val="9"/>
  </w:num>
  <w:num w:numId="12">
    <w:abstractNumId w:val="12"/>
  </w:num>
  <w:num w:numId="13">
    <w:abstractNumId w:val="18"/>
  </w:num>
  <w:num w:numId="14">
    <w:abstractNumId w:val="19"/>
  </w:num>
  <w:num w:numId="15">
    <w:abstractNumId w:val="22"/>
  </w:num>
  <w:num w:numId="16">
    <w:abstractNumId w:val="14"/>
  </w:num>
  <w:num w:numId="17">
    <w:abstractNumId w:val="2"/>
  </w:num>
  <w:num w:numId="18">
    <w:abstractNumId w:val="15"/>
  </w:num>
  <w:num w:numId="19">
    <w:abstractNumId w:val="20"/>
  </w:num>
  <w:num w:numId="20">
    <w:abstractNumId w:val="4"/>
  </w:num>
  <w:num w:numId="21">
    <w:abstractNumId w:val="5"/>
  </w:num>
  <w:num w:numId="22">
    <w:abstractNumId w:val="1"/>
  </w:num>
  <w:num w:numId="23">
    <w:abstractNumId w:val="17"/>
  </w:num>
  <w:num w:numId="24">
    <w:abstractNumId w:val="8"/>
  </w:num>
  <w:num w:numId="25">
    <w:abstractNumId w:val="16"/>
  </w:num>
  <w:num w:numId="26">
    <w:abstractNumId w:val="24"/>
  </w:num>
  <w:num w:numId="27">
    <w:abstractNumId w:val="11"/>
  </w:num>
  <w:num w:numId="2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F10"/>
    <w:rsid w:val="00001FDC"/>
    <w:rsid w:val="00003157"/>
    <w:rsid w:val="00006D51"/>
    <w:rsid w:val="000072D4"/>
    <w:rsid w:val="00012B65"/>
    <w:rsid w:val="00024994"/>
    <w:rsid w:val="00025D61"/>
    <w:rsid w:val="00027002"/>
    <w:rsid w:val="0003097E"/>
    <w:rsid w:val="000348A4"/>
    <w:rsid w:val="00040F40"/>
    <w:rsid w:val="00043410"/>
    <w:rsid w:val="00045C33"/>
    <w:rsid w:val="000573FD"/>
    <w:rsid w:val="00057EED"/>
    <w:rsid w:val="00063F59"/>
    <w:rsid w:val="00067627"/>
    <w:rsid w:val="00071818"/>
    <w:rsid w:val="0007418B"/>
    <w:rsid w:val="00081F05"/>
    <w:rsid w:val="00082FCE"/>
    <w:rsid w:val="000856DB"/>
    <w:rsid w:val="000857E8"/>
    <w:rsid w:val="00091452"/>
    <w:rsid w:val="00094AFB"/>
    <w:rsid w:val="00096132"/>
    <w:rsid w:val="000A21BC"/>
    <w:rsid w:val="000A6DB9"/>
    <w:rsid w:val="000B29CC"/>
    <w:rsid w:val="000B4E4A"/>
    <w:rsid w:val="000C1592"/>
    <w:rsid w:val="000C332E"/>
    <w:rsid w:val="000C6BE1"/>
    <w:rsid w:val="000D59CF"/>
    <w:rsid w:val="000E3DC8"/>
    <w:rsid w:val="000E5122"/>
    <w:rsid w:val="000E645E"/>
    <w:rsid w:val="000E6E17"/>
    <w:rsid w:val="000F0974"/>
    <w:rsid w:val="000F42E2"/>
    <w:rsid w:val="000F6C65"/>
    <w:rsid w:val="000F770F"/>
    <w:rsid w:val="00100200"/>
    <w:rsid w:val="0010100B"/>
    <w:rsid w:val="00106EA6"/>
    <w:rsid w:val="00121CA2"/>
    <w:rsid w:val="00122FC4"/>
    <w:rsid w:val="00123E97"/>
    <w:rsid w:val="00126887"/>
    <w:rsid w:val="001340BB"/>
    <w:rsid w:val="00135555"/>
    <w:rsid w:val="00136819"/>
    <w:rsid w:val="00136A97"/>
    <w:rsid w:val="001410FF"/>
    <w:rsid w:val="0014473B"/>
    <w:rsid w:val="001535C7"/>
    <w:rsid w:val="00154292"/>
    <w:rsid w:val="00160595"/>
    <w:rsid w:val="001673D5"/>
    <w:rsid w:val="00173EA1"/>
    <w:rsid w:val="00182378"/>
    <w:rsid w:val="00186BDA"/>
    <w:rsid w:val="00187774"/>
    <w:rsid w:val="00191E6C"/>
    <w:rsid w:val="00196F5D"/>
    <w:rsid w:val="001972B9"/>
    <w:rsid w:val="001A0308"/>
    <w:rsid w:val="001A1F23"/>
    <w:rsid w:val="001A4A39"/>
    <w:rsid w:val="001A7780"/>
    <w:rsid w:val="001B653C"/>
    <w:rsid w:val="001B6596"/>
    <w:rsid w:val="001B7381"/>
    <w:rsid w:val="001C0CA4"/>
    <w:rsid w:val="001C3231"/>
    <w:rsid w:val="001D0E13"/>
    <w:rsid w:val="001D36FA"/>
    <w:rsid w:val="001D46F1"/>
    <w:rsid w:val="001D6ABB"/>
    <w:rsid w:val="001F1595"/>
    <w:rsid w:val="00204256"/>
    <w:rsid w:val="002048EB"/>
    <w:rsid w:val="00205A73"/>
    <w:rsid w:val="00206DB0"/>
    <w:rsid w:val="0021110D"/>
    <w:rsid w:val="002119A9"/>
    <w:rsid w:val="00212C43"/>
    <w:rsid w:val="0021514B"/>
    <w:rsid w:val="00217B11"/>
    <w:rsid w:val="00250061"/>
    <w:rsid w:val="002528BB"/>
    <w:rsid w:val="00255A0D"/>
    <w:rsid w:val="00262AB5"/>
    <w:rsid w:val="00265007"/>
    <w:rsid w:val="002653E8"/>
    <w:rsid w:val="0026696A"/>
    <w:rsid w:val="00273A90"/>
    <w:rsid w:val="0029395C"/>
    <w:rsid w:val="00294E9C"/>
    <w:rsid w:val="002A58BC"/>
    <w:rsid w:val="002A60DC"/>
    <w:rsid w:val="002B39FF"/>
    <w:rsid w:val="002B5088"/>
    <w:rsid w:val="002C1E3B"/>
    <w:rsid w:val="002C256C"/>
    <w:rsid w:val="002C4319"/>
    <w:rsid w:val="002C4805"/>
    <w:rsid w:val="002C5123"/>
    <w:rsid w:val="002D057F"/>
    <w:rsid w:val="002D1994"/>
    <w:rsid w:val="002D42BE"/>
    <w:rsid w:val="002D69B1"/>
    <w:rsid w:val="002E410D"/>
    <w:rsid w:val="002E4D34"/>
    <w:rsid w:val="002F2264"/>
    <w:rsid w:val="00312442"/>
    <w:rsid w:val="00313359"/>
    <w:rsid w:val="0031440E"/>
    <w:rsid w:val="0031613E"/>
    <w:rsid w:val="003352B6"/>
    <w:rsid w:val="00336A8A"/>
    <w:rsid w:val="00340C69"/>
    <w:rsid w:val="003446D6"/>
    <w:rsid w:val="00345F3E"/>
    <w:rsid w:val="00346103"/>
    <w:rsid w:val="003464B1"/>
    <w:rsid w:val="00355CC7"/>
    <w:rsid w:val="0036381D"/>
    <w:rsid w:val="00374286"/>
    <w:rsid w:val="003826BC"/>
    <w:rsid w:val="0038687D"/>
    <w:rsid w:val="00390124"/>
    <w:rsid w:val="00395460"/>
    <w:rsid w:val="00395DC8"/>
    <w:rsid w:val="00395F09"/>
    <w:rsid w:val="003A1DA9"/>
    <w:rsid w:val="003B251B"/>
    <w:rsid w:val="003B3E95"/>
    <w:rsid w:val="003B6F29"/>
    <w:rsid w:val="003C19BD"/>
    <w:rsid w:val="003C4377"/>
    <w:rsid w:val="003D1963"/>
    <w:rsid w:val="003D55F0"/>
    <w:rsid w:val="003E114E"/>
    <w:rsid w:val="003E1876"/>
    <w:rsid w:val="003E73EA"/>
    <w:rsid w:val="003F2B2E"/>
    <w:rsid w:val="003F420F"/>
    <w:rsid w:val="003F4867"/>
    <w:rsid w:val="00406992"/>
    <w:rsid w:val="00416ADB"/>
    <w:rsid w:val="00425797"/>
    <w:rsid w:val="00430BF6"/>
    <w:rsid w:val="004312AA"/>
    <w:rsid w:val="004373D5"/>
    <w:rsid w:val="00437F01"/>
    <w:rsid w:val="00441FD2"/>
    <w:rsid w:val="004432D8"/>
    <w:rsid w:val="00461655"/>
    <w:rsid w:val="00463FA7"/>
    <w:rsid w:val="00472D94"/>
    <w:rsid w:val="004732B8"/>
    <w:rsid w:val="00473631"/>
    <w:rsid w:val="00477AD4"/>
    <w:rsid w:val="00482EDA"/>
    <w:rsid w:val="00491143"/>
    <w:rsid w:val="00494150"/>
    <w:rsid w:val="004B6498"/>
    <w:rsid w:val="004B79B3"/>
    <w:rsid w:val="004C3DB1"/>
    <w:rsid w:val="004C4AEE"/>
    <w:rsid w:val="004D5680"/>
    <w:rsid w:val="004E4045"/>
    <w:rsid w:val="004E555F"/>
    <w:rsid w:val="004E68E3"/>
    <w:rsid w:val="004E6D54"/>
    <w:rsid w:val="004F2F50"/>
    <w:rsid w:val="004F32BE"/>
    <w:rsid w:val="004F3486"/>
    <w:rsid w:val="00510C23"/>
    <w:rsid w:val="00512A98"/>
    <w:rsid w:val="00513183"/>
    <w:rsid w:val="005153F7"/>
    <w:rsid w:val="00515FF5"/>
    <w:rsid w:val="005205A3"/>
    <w:rsid w:val="00520B9F"/>
    <w:rsid w:val="005234AC"/>
    <w:rsid w:val="00531F18"/>
    <w:rsid w:val="005333D5"/>
    <w:rsid w:val="00544B6A"/>
    <w:rsid w:val="00544D77"/>
    <w:rsid w:val="005477A7"/>
    <w:rsid w:val="00547BFA"/>
    <w:rsid w:val="00547D9F"/>
    <w:rsid w:val="00555E44"/>
    <w:rsid w:val="00557DA1"/>
    <w:rsid w:val="00563FA1"/>
    <w:rsid w:val="00574513"/>
    <w:rsid w:val="00575709"/>
    <w:rsid w:val="00577ADE"/>
    <w:rsid w:val="00577F1E"/>
    <w:rsid w:val="005856EC"/>
    <w:rsid w:val="005928BE"/>
    <w:rsid w:val="00596F30"/>
    <w:rsid w:val="005A001B"/>
    <w:rsid w:val="005A017F"/>
    <w:rsid w:val="005A3C92"/>
    <w:rsid w:val="005A5BB6"/>
    <w:rsid w:val="005B12CB"/>
    <w:rsid w:val="005B1669"/>
    <w:rsid w:val="005B1782"/>
    <w:rsid w:val="005B312A"/>
    <w:rsid w:val="005B393B"/>
    <w:rsid w:val="005C0CDC"/>
    <w:rsid w:val="005C1433"/>
    <w:rsid w:val="005C1A17"/>
    <w:rsid w:val="005C5544"/>
    <w:rsid w:val="005C5F6C"/>
    <w:rsid w:val="005C681F"/>
    <w:rsid w:val="005E03A6"/>
    <w:rsid w:val="005E2995"/>
    <w:rsid w:val="005F7947"/>
    <w:rsid w:val="006024C2"/>
    <w:rsid w:val="006114DA"/>
    <w:rsid w:val="0061766B"/>
    <w:rsid w:val="00624957"/>
    <w:rsid w:val="00630439"/>
    <w:rsid w:val="00631FF3"/>
    <w:rsid w:val="0063353F"/>
    <w:rsid w:val="00634399"/>
    <w:rsid w:val="0063648D"/>
    <w:rsid w:val="00640BEA"/>
    <w:rsid w:val="00644C33"/>
    <w:rsid w:val="00651DF2"/>
    <w:rsid w:val="00653C35"/>
    <w:rsid w:val="0065651C"/>
    <w:rsid w:val="00657189"/>
    <w:rsid w:val="00657D2B"/>
    <w:rsid w:val="006646EC"/>
    <w:rsid w:val="00664703"/>
    <w:rsid w:val="00665FB9"/>
    <w:rsid w:val="006674DC"/>
    <w:rsid w:val="006716F8"/>
    <w:rsid w:val="00674AE3"/>
    <w:rsid w:val="006863EC"/>
    <w:rsid w:val="00693DFB"/>
    <w:rsid w:val="006A27E9"/>
    <w:rsid w:val="006B0DD6"/>
    <w:rsid w:val="006B1EFC"/>
    <w:rsid w:val="006B2637"/>
    <w:rsid w:val="006B3863"/>
    <w:rsid w:val="006B5B7C"/>
    <w:rsid w:val="006C24BE"/>
    <w:rsid w:val="006C43AE"/>
    <w:rsid w:val="006D2065"/>
    <w:rsid w:val="006D52C8"/>
    <w:rsid w:val="006E0D6D"/>
    <w:rsid w:val="006E5B2C"/>
    <w:rsid w:val="006F2B52"/>
    <w:rsid w:val="006F67EE"/>
    <w:rsid w:val="00701D2F"/>
    <w:rsid w:val="00713BF8"/>
    <w:rsid w:val="00720B76"/>
    <w:rsid w:val="00721E5B"/>
    <w:rsid w:val="007256AD"/>
    <w:rsid w:val="007274C3"/>
    <w:rsid w:val="00731CEC"/>
    <w:rsid w:val="00735EE0"/>
    <w:rsid w:val="0074421F"/>
    <w:rsid w:val="0074543D"/>
    <w:rsid w:val="0075096C"/>
    <w:rsid w:val="007516E1"/>
    <w:rsid w:val="007540F9"/>
    <w:rsid w:val="007547E2"/>
    <w:rsid w:val="007557E3"/>
    <w:rsid w:val="00757832"/>
    <w:rsid w:val="007600B8"/>
    <w:rsid w:val="00761FB1"/>
    <w:rsid w:val="00771D2F"/>
    <w:rsid w:val="00776555"/>
    <w:rsid w:val="007804A9"/>
    <w:rsid w:val="00781FBF"/>
    <w:rsid w:val="00783F5C"/>
    <w:rsid w:val="0078498D"/>
    <w:rsid w:val="007849A9"/>
    <w:rsid w:val="0078500A"/>
    <w:rsid w:val="0078540C"/>
    <w:rsid w:val="00785A18"/>
    <w:rsid w:val="007921D0"/>
    <w:rsid w:val="00792B55"/>
    <w:rsid w:val="0079772D"/>
    <w:rsid w:val="007A2F39"/>
    <w:rsid w:val="007A34D7"/>
    <w:rsid w:val="007A3821"/>
    <w:rsid w:val="007B1A15"/>
    <w:rsid w:val="007D0916"/>
    <w:rsid w:val="007D15CD"/>
    <w:rsid w:val="007D2FE3"/>
    <w:rsid w:val="007D5D2F"/>
    <w:rsid w:val="007D640F"/>
    <w:rsid w:val="007E1BD1"/>
    <w:rsid w:val="007E4D4C"/>
    <w:rsid w:val="007F18CC"/>
    <w:rsid w:val="00800246"/>
    <w:rsid w:val="00810003"/>
    <w:rsid w:val="0081122B"/>
    <w:rsid w:val="00812CF6"/>
    <w:rsid w:val="00813538"/>
    <w:rsid w:val="00815398"/>
    <w:rsid w:val="0081698B"/>
    <w:rsid w:val="00827653"/>
    <w:rsid w:val="00830589"/>
    <w:rsid w:val="00842960"/>
    <w:rsid w:val="00844450"/>
    <w:rsid w:val="0085010A"/>
    <w:rsid w:val="008564A0"/>
    <w:rsid w:val="00861B9C"/>
    <w:rsid w:val="00871813"/>
    <w:rsid w:val="00875E38"/>
    <w:rsid w:val="00875F8D"/>
    <w:rsid w:val="008839F4"/>
    <w:rsid w:val="008847F6"/>
    <w:rsid w:val="00887A57"/>
    <w:rsid w:val="00893854"/>
    <w:rsid w:val="008A17F7"/>
    <w:rsid w:val="008A21E1"/>
    <w:rsid w:val="008A2566"/>
    <w:rsid w:val="008B1DF6"/>
    <w:rsid w:val="008B5285"/>
    <w:rsid w:val="008C510C"/>
    <w:rsid w:val="008D0796"/>
    <w:rsid w:val="008D0887"/>
    <w:rsid w:val="008D0ECC"/>
    <w:rsid w:val="008D1DDB"/>
    <w:rsid w:val="008D4C19"/>
    <w:rsid w:val="008E1A88"/>
    <w:rsid w:val="008E3D85"/>
    <w:rsid w:val="008F0683"/>
    <w:rsid w:val="008F7625"/>
    <w:rsid w:val="00904A47"/>
    <w:rsid w:val="0090566E"/>
    <w:rsid w:val="00907561"/>
    <w:rsid w:val="009101E4"/>
    <w:rsid w:val="0091281E"/>
    <w:rsid w:val="00913C29"/>
    <w:rsid w:val="00920666"/>
    <w:rsid w:val="0092193C"/>
    <w:rsid w:val="00922A69"/>
    <w:rsid w:val="0092487D"/>
    <w:rsid w:val="00933F10"/>
    <w:rsid w:val="009365DC"/>
    <w:rsid w:val="00941064"/>
    <w:rsid w:val="009439A5"/>
    <w:rsid w:val="00944E50"/>
    <w:rsid w:val="00947D5E"/>
    <w:rsid w:val="009548DA"/>
    <w:rsid w:val="00957483"/>
    <w:rsid w:val="00960913"/>
    <w:rsid w:val="00961DFD"/>
    <w:rsid w:val="00962CAB"/>
    <w:rsid w:val="00964ABF"/>
    <w:rsid w:val="00967986"/>
    <w:rsid w:val="00970F63"/>
    <w:rsid w:val="00972FA0"/>
    <w:rsid w:val="00976065"/>
    <w:rsid w:val="00983F52"/>
    <w:rsid w:val="00991596"/>
    <w:rsid w:val="00993B92"/>
    <w:rsid w:val="009A02D3"/>
    <w:rsid w:val="009A26A1"/>
    <w:rsid w:val="009C083C"/>
    <w:rsid w:val="009C1DAB"/>
    <w:rsid w:val="009C61A5"/>
    <w:rsid w:val="009C6B16"/>
    <w:rsid w:val="009D4AF2"/>
    <w:rsid w:val="009E5989"/>
    <w:rsid w:val="009E72FC"/>
    <w:rsid w:val="009F0A91"/>
    <w:rsid w:val="009F33BD"/>
    <w:rsid w:val="009F7A8C"/>
    <w:rsid w:val="00A02D50"/>
    <w:rsid w:val="00A0CD6B"/>
    <w:rsid w:val="00A13448"/>
    <w:rsid w:val="00A1367F"/>
    <w:rsid w:val="00A13E4F"/>
    <w:rsid w:val="00A35CD7"/>
    <w:rsid w:val="00A40E55"/>
    <w:rsid w:val="00A43119"/>
    <w:rsid w:val="00A4357D"/>
    <w:rsid w:val="00A44914"/>
    <w:rsid w:val="00A45378"/>
    <w:rsid w:val="00A52E19"/>
    <w:rsid w:val="00A57D08"/>
    <w:rsid w:val="00A57EFE"/>
    <w:rsid w:val="00A63B6E"/>
    <w:rsid w:val="00A7078D"/>
    <w:rsid w:val="00A73676"/>
    <w:rsid w:val="00A77BFB"/>
    <w:rsid w:val="00A80A98"/>
    <w:rsid w:val="00A86886"/>
    <w:rsid w:val="00A87EE0"/>
    <w:rsid w:val="00A93067"/>
    <w:rsid w:val="00A96194"/>
    <w:rsid w:val="00AB0D11"/>
    <w:rsid w:val="00AB4714"/>
    <w:rsid w:val="00AC4E62"/>
    <w:rsid w:val="00AD001A"/>
    <w:rsid w:val="00AD2C60"/>
    <w:rsid w:val="00AD692E"/>
    <w:rsid w:val="00AE3478"/>
    <w:rsid w:val="00AE4069"/>
    <w:rsid w:val="00AE4990"/>
    <w:rsid w:val="00AE4B66"/>
    <w:rsid w:val="00AE7550"/>
    <w:rsid w:val="00B00B2C"/>
    <w:rsid w:val="00B0133B"/>
    <w:rsid w:val="00B02333"/>
    <w:rsid w:val="00B03833"/>
    <w:rsid w:val="00B13716"/>
    <w:rsid w:val="00B14B86"/>
    <w:rsid w:val="00B20741"/>
    <w:rsid w:val="00B34CFE"/>
    <w:rsid w:val="00B35DBE"/>
    <w:rsid w:val="00B378D3"/>
    <w:rsid w:val="00B42B2C"/>
    <w:rsid w:val="00B45C27"/>
    <w:rsid w:val="00B53BBA"/>
    <w:rsid w:val="00B54EB3"/>
    <w:rsid w:val="00B552C0"/>
    <w:rsid w:val="00B57814"/>
    <w:rsid w:val="00B67E7A"/>
    <w:rsid w:val="00B81D6A"/>
    <w:rsid w:val="00B8304B"/>
    <w:rsid w:val="00B87118"/>
    <w:rsid w:val="00B920A1"/>
    <w:rsid w:val="00B95F9C"/>
    <w:rsid w:val="00B96711"/>
    <w:rsid w:val="00BA1A22"/>
    <w:rsid w:val="00BA2BCF"/>
    <w:rsid w:val="00BA2D6B"/>
    <w:rsid w:val="00BB2F60"/>
    <w:rsid w:val="00BB6818"/>
    <w:rsid w:val="00BB71A8"/>
    <w:rsid w:val="00BC17C6"/>
    <w:rsid w:val="00BC5785"/>
    <w:rsid w:val="00BD48C8"/>
    <w:rsid w:val="00BE2F91"/>
    <w:rsid w:val="00BE3D0E"/>
    <w:rsid w:val="00BE473A"/>
    <w:rsid w:val="00BE5817"/>
    <w:rsid w:val="00BE6E90"/>
    <w:rsid w:val="00BE7670"/>
    <w:rsid w:val="00BF7096"/>
    <w:rsid w:val="00C018C2"/>
    <w:rsid w:val="00C033B4"/>
    <w:rsid w:val="00C051F5"/>
    <w:rsid w:val="00C061DA"/>
    <w:rsid w:val="00C13B6C"/>
    <w:rsid w:val="00C1649C"/>
    <w:rsid w:val="00C30D4E"/>
    <w:rsid w:val="00C33223"/>
    <w:rsid w:val="00C33FEC"/>
    <w:rsid w:val="00C43A84"/>
    <w:rsid w:val="00C547F2"/>
    <w:rsid w:val="00C57CCC"/>
    <w:rsid w:val="00C705A5"/>
    <w:rsid w:val="00C7085D"/>
    <w:rsid w:val="00C71DB7"/>
    <w:rsid w:val="00C74F9C"/>
    <w:rsid w:val="00C80610"/>
    <w:rsid w:val="00C80DC4"/>
    <w:rsid w:val="00C868FC"/>
    <w:rsid w:val="00C92E5C"/>
    <w:rsid w:val="00C9394E"/>
    <w:rsid w:val="00CA1297"/>
    <w:rsid w:val="00CA1908"/>
    <w:rsid w:val="00CA45CB"/>
    <w:rsid w:val="00CB0BC9"/>
    <w:rsid w:val="00CB2B0B"/>
    <w:rsid w:val="00CB3506"/>
    <w:rsid w:val="00CC0386"/>
    <w:rsid w:val="00CC140F"/>
    <w:rsid w:val="00CD3D2F"/>
    <w:rsid w:val="00CD43BF"/>
    <w:rsid w:val="00CD54BC"/>
    <w:rsid w:val="00CE08E5"/>
    <w:rsid w:val="00CE253A"/>
    <w:rsid w:val="00CE3B83"/>
    <w:rsid w:val="00CE76D5"/>
    <w:rsid w:val="00CF11BB"/>
    <w:rsid w:val="00CF32C2"/>
    <w:rsid w:val="00CF4A8C"/>
    <w:rsid w:val="00CF53B9"/>
    <w:rsid w:val="00D02670"/>
    <w:rsid w:val="00D0333B"/>
    <w:rsid w:val="00D04927"/>
    <w:rsid w:val="00D060ED"/>
    <w:rsid w:val="00D061B0"/>
    <w:rsid w:val="00D07CBF"/>
    <w:rsid w:val="00D142DD"/>
    <w:rsid w:val="00D153E2"/>
    <w:rsid w:val="00D16D8A"/>
    <w:rsid w:val="00D177A2"/>
    <w:rsid w:val="00D208EF"/>
    <w:rsid w:val="00D22E06"/>
    <w:rsid w:val="00D332EF"/>
    <w:rsid w:val="00D34FFB"/>
    <w:rsid w:val="00D37A9B"/>
    <w:rsid w:val="00D402D2"/>
    <w:rsid w:val="00D40C1B"/>
    <w:rsid w:val="00D5249F"/>
    <w:rsid w:val="00D54265"/>
    <w:rsid w:val="00D5696E"/>
    <w:rsid w:val="00D62537"/>
    <w:rsid w:val="00D74189"/>
    <w:rsid w:val="00D77581"/>
    <w:rsid w:val="00D818B9"/>
    <w:rsid w:val="00D85610"/>
    <w:rsid w:val="00D91C05"/>
    <w:rsid w:val="00D9556E"/>
    <w:rsid w:val="00DA44FD"/>
    <w:rsid w:val="00DA7FCB"/>
    <w:rsid w:val="00DB316E"/>
    <w:rsid w:val="00DB763A"/>
    <w:rsid w:val="00DB7754"/>
    <w:rsid w:val="00DC2050"/>
    <w:rsid w:val="00DE35E1"/>
    <w:rsid w:val="00DE3C32"/>
    <w:rsid w:val="00DE4A42"/>
    <w:rsid w:val="00DF0B5F"/>
    <w:rsid w:val="00E01F1B"/>
    <w:rsid w:val="00E142D2"/>
    <w:rsid w:val="00E278A7"/>
    <w:rsid w:val="00E36771"/>
    <w:rsid w:val="00E46DF5"/>
    <w:rsid w:val="00E512B1"/>
    <w:rsid w:val="00E54101"/>
    <w:rsid w:val="00E5552E"/>
    <w:rsid w:val="00E558C3"/>
    <w:rsid w:val="00E8146F"/>
    <w:rsid w:val="00E823D9"/>
    <w:rsid w:val="00E846CB"/>
    <w:rsid w:val="00E85770"/>
    <w:rsid w:val="00E916C7"/>
    <w:rsid w:val="00E91741"/>
    <w:rsid w:val="00E92EBE"/>
    <w:rsid w:val="00E93C4D"/>
    <w:rsid w:val="00E9443A"/>
    <w:rsid w:val="00E95766"/>
    <w:rsid w:val="00EA075F"/>
    <w:rsid w:val="00EA1C8C"/>
    <w:rsid w:val="00EA2923"/>
    <w:rsid w:val="00EA349A"/>
    <w:rsid w:val="00EA592C"/>
    <w:rsid w:val="00EA6D56"/>
    <w:rsid w:val="00EC01BB"/>
    <w:rsid w:val="00EC6966"/>
    <w:rsid w:val="00ED0E21"/>
    <w:rsid w:val="00ED1116"/>
    <w:rsid w:val="00EE0262"/>
    <w:rsid w:val="00EE3E61"/>
    <w:rsid w:val="00EF02E3"/>
    <w:rsid w:val="00EF5898"/>
    <w:rsid w:val="00F13CC6"/>
    <w:rsid w:val="00F14D77"/>
    <w:rsid w:val="00F1708E"/>
    <w:rsid w:val="00F17B50"/>
    <w:rsid w:val="00F2094B"/>
    <w:rsid w:val="00F27759"/>
    <w:rsid w:val="00F3200C"/>
    <w:rsid w:val="00F36A6D"/>
    <w:rsid w:val="00F439A8"/>
    <w:rsid w:val="00F525DF"/>
    <w:rsid w:val="00F80ECE"/>
    <w:rsid w:val="00F90B54"/>
    <w:rsid w:val="00F94934"/>
    <w:rsid w:val="00F97B5F"/>
    <w:rsid w:val="00FA07C7"/>
    <w:rsid w:val="00FA0934"/>
    <w:rsid w:val="00FA0FEB"/>
    <w:rsid w:val="00FA28A2"/>
    <w:rsid w:val="00FA4512"/>
    <w:rsid w:val="00FB1E71"/>
    <w:rsid w:val="00FB2AE1"/>
    <w:rsid w:val="00FB6FE0"/>
    <w:rsid w:val="00FC1BCC"/>
    <w:rsid w:val="00FC4A50"/>
    <w:rsid w:val="00FC57B5"/>
    <w:rsid w:val="00FC64F2"/>
    <w:rsid w:val="00FD0BA6"/>
    <w:rsid w:val="00FD133B"/>
    <w:rsid w:val="00FD50B5"/>
    <w:rsid w:val="00FE10E7"/>
    <w:rsid w:val="00FE2AA2"/>
    <w:rsid w:val="00FE4076"/>
    <w:rsid w:val="00FE69F2"/>
    <w:rsid w:val="00FE7177"/>
    <w:rsid w:val="00FF58D4"/>
    <w:rsid w:val="0132F535"/>
    <w:rsid w:val="01972032"/>
    <w:rsid w:val="020012AA"/>
    <w:rsid w:val="021B82E3"/>
    <w:rsid w:val="0262CEA7"/>
    <w:rsid w:val="02664D6C"/>
    <w:rsid w:val="027583F7"/>
    <w:rsid w:val="02CEC596"/>
    <w:rsid w:val="02DCA2E9"/>
    <w:rsid w:val="03088E9D"/>
    <w:rsid w:val="036560CE"/>
    <w:rsid w:val="041A0996"/>
    <w:rsid w:val="0420A4D8"/>
    <w:rsid w:val="04A9A2F1"/>
    <w:rsid w:val="04E6298B"/>
    <w:rsid w:val="05982354"/>
    <w:rsid w:val="05B15AC2"/>
    <w:rsid w:val="05D86B54"/>
    <w:rsid w:val="06050DCC"/>
    <w:rsid w:val="062B149E"/>
    <w:rsid w:val="064F8E78"/>
    <w:rsid w:val="06B6614C"/>
    <w:rsid w:val="072016BA"/>
    <w:rsid w:val="07258D5D"/>
    <w:rsid w:val="07444F95"/>
    <w:rsid w:val="07F3EA2D"/>
    <w:rsid w:val="08A1CFE1"/>
    <w:rsid w:val="08F5B23E"/>
    <w:rsid w:val="0A5168AC"/>
    <w:rsid w:val="0A8F1132"/>
    <w:rsid w:val="0B9D5F70"/>
    <w:rsid w:val="0CB97AA2"/>
    <w:rsid w:val="0CBBCEA4"/>
    <w:rsid w:val="0CDD65BC"/>
    <w:rsid w:val="0CE1701F"/>
    <w:rsid w:val="0D24D076"/>
    <w:rsid w:val="0DBE610B"/>
    <w:rsid w:val="0E3F7465"/>
    <w:rsid w:val="0E632BB1"/>
    <w:rsid w:val="0E6D0F82"/>
    <w:rsid w:val="0E8A664F"/>
    <w:rsid w:val="0E997B04"/>
    <w:rsid w:val="0E9B8B57"/>
    <w:rsid w:val="0EC62175"/>
    <w:rsid w:val="0EF01884"/>
    <w:rsid w:val="0F18837A"/>
    <w:rsid w:val="0FB19183"/>
    <w:rsid w:val="101E0269"/>
    <w:rsid w:val="10B453DB"/>
    <w:rsid w:val="10BB7385"/>
    <w:rsid w:val="10ECAF6B"/>
    <w:rsid w:val="10F04C22"/>
    <w:rsid w:val="11226101"/>
    <w:rsid w:val="11B4E142"/>
    <w:rsid w:val="11DE1894"/>
    <w:rsid w:val="11ECBC06"/>
    <w:rsid w:val="1224490B"/>
    <w:rsid w:val="12F2BD06"/>
    <w:rsid w:val="13244FE0"/>
    <w:rsid w:val="14057B39"/>
    <w:rsid w:val="15433319"/>
    <w:rsid w:val="15747CB4"/>
    <w:rsid w:val="15854CAC"/>
    <w:rsid w:val="168544B5"/>
    <w:rsid w:val="16865A3A"/>
    <w:rsid w:val="16B1DA3A"/>
    <w:rsid w:val="16C5E037"/>
    <w:rsid w:val="16E86A01"/>
    <w:rsid w:val="17569830"/>
    <w:rsid w:val="17A27C9D"/>
    <w:rsid w:val="1844D7D4"/>
    <w:rsid w:val="192C2BDE"/>
    <w:rsid w:val="1972F822"/>
    <w:rsid w:val="19F1C546"/>
    <w:rsid w:val="1A47EDD7"/>
    <w:rsid w:val="1A5DD883"/>
    <w:rsid w:val="1A8C194D"/>
    <w:rsid w:val="1AA5D755"/>
    <w:rsid w:val="1AA67779"/>
    <w:rsid w:val="1AF51B9D"/>
    <w:rsid w:val="1B39E457"/>
    <w:rsid w:val="1C18FFE1"/>
    <w:rsid w:val="1C2AB414"/>
    <w:rsid w:val="1C8A7068"/>
    <w:rsid w:val="1CD7A493"/>
    <w:rsid w:val="1DD64A42"/>
    <w:rsid w:val="1EA7AD56"/>
    <w:rsid w:val="1F43420D"/>
    <w:rsid w:val="1FBCAECD"/>
    <w:rsid w:val="1FF0057F"/>
    <w:rsid w:val="1FFA5560"/>
    <w:rsid w:val="204D7F82"/>
    <w:rsid w:val="207FB489"/>
    <w:rsid w:val="209AABE7"/>
    <w:rsid w:val="213DDA9E"/>
    <w:rsid w:val="2175DF6F"/>
    <w:rsid w:val="21E94FE3"/>
    <w:rsid w:val="223D95C2"/>
    <w:rsid w:val="2269C3F4"/>
    <w:rsid w:val="22818B09"/>
    <w:rsid w:val="22A4A3C7"/>
    <w:rsid w:val="22DD12D6"/>
    <w:rsid w:val="22FB38A7"/>
    <w:rsid w:val="230F2CC3"/>
    <w:rsid w:val="236B048F"/>
    <w:rsid w:val="2375192A"/>
    <w:rsid w:val="23D2D629"/>
    <w:rsid w:val="23FEA99B"/>
    <w:rsid w:val="2478DCDB"/>
    <w:rsid w:val="24B9F15E"/>
    <w:rsid w:val="24CDC683"/>
    <w:rsid w:val="262349FE"/>
    <w:rsid w:val="275CB4E0"/>
    <w:rsid w:val="277910C5"/>
    <w:rsid w:val="27846D92"/>
    <w:rsid w:val="28056745"/>
    <w:rsid w:val="283F690A"/>
    <w:rsid w:val="2852F052"/>
    <w:rsid w:val="2914E126"/>
    <w:rsid w:val="2918E1BE"/>
    <w:rsid w:val="29A137A6"/>
    <w:rsid w:val="2A345582"/>
    <w:rsid w:val="2A9CAC9F"/>
    <w:rsid w:val="2B3BAAB0"/>
    <w:rsid w:val="2BD2395E"/>
    <w:rsid w:val="2D1A26E6"/>
    <w:rsid w:val="2D443BD5"/>
    <w:rsid w:val="2DF45B92"/>
    <w:rsid w:val="2E6852D9"/>
    <w:rsid w:val="2E7C121B"/>
    <w:rsid w:val="2EB2375E"/>
    <w:rsid w:val="2EB2CB4F"/>
    <w:rsid w:val="2EC10469"/>
    <w:rsid w:val="2F902BF3"/>
    <w:rsid w:val="2FB60F07"/>
    <w:rsid w:val="301B1944"/>
    <w:rsid w:val="30864F0C"/>
    <w:rsid w:val="31A7EDBB"/>
    <w:rsid w:val="31F33104"/>
    <w:rsid w:val="322EEB0D"/>
    <w:rsid w:val="3257E8AF"/>
    <w:rsid w:val="32B36E45"/>
    <w:rsid w:val="3330B41D"/>
    <w:rsid w:val="33500772"/>
    <w:rsid w:val="3381F892"/>
    <w:rsid w:val="3387C221"/>
    <w:rsid w:val="33D377E3"/>
    <w:rsid w:val="33E438AF"/>
    <w:rsid w:val="33EDE946"/>
    <w:rsid w:val="34964C0D"/>
    <w:rsid w:val="34BED1A2"/>
    <w:rsid w:val="35239282"/>
    <w:rsid w:val="3530C613"/>
    <w:rsid w:val="354087EE"/>
    <w:rsid w:val="35472E94"/>
    <w:rsid w:val="3582A024"/>
    <w:rsid w:val="35F3F37D"/>
    <w:rsid w:val="35F63F92"/>
    <w:rsid w:val="366DFBA3"/>
    <w:rsid w:val="3687A834"/>
    <w:rsid w:val="3695E738"/>
    <w:rsid w:val="36BF62E3"/>
    <w:rsid w:val="3749D5DB"/>
    <w:rsid w:val="37A02F3E"/>
    <w:rsid w:val="38237895"/>
    <w:rsid w:val="38617495"/>
    <w:rsid w:val="386EF3D3"/>
    <w:rsid w:val="3918DDA7"/>
    <w:rsid w:val="397AE9FC"/>
    <w:rsid w:val="39864FBD"/>
    <w:rsid w:val="398E51B5"/>
    <w:rsid w:val="39F703A5"/>
    <w:rsid w:val="39FBB4F2"/>
    <w:rsid w:val="3A87DCBF"/>
    <w:rsid w:val="3AD55AD2"/>
    <w:rsid w:val="3B77EC7D"/>
    <w:rsid w:val="3B80EAED"/>
    <w:rsid w:val="3B92D406"/>
    <w:rsid w:val="3BAF2F6F"/>
    <w:rsid w:val="3C123599"/>
    <w:rsid w:val="3C1E8B8A"/>
    <w:rsid w:val="3CB4487A"/>
    <w:rsid w:val="3CDE725E"/>
    <w:rsid w:val="3CEA3F26"/>
    <w:rsid w:val="3D17C320"/>
    <w:rsid w:val="3DB4E3CE"/>
    <w:rsid w:val="3DED13FE"/>
    <w:rsid w:val="3E44109E"/>
    <w:rsid w:val="3EA9F7C5"/>
    <w:rsid w:val="3EB88BAF"/>
    <w:rsid w:val="3EFA220A"/>
    <w:rsid w:val="3F623080"/>
    <w:rsid w:val="3F6EF6CE"/>
    <w:rsid w:val="3F8E658B"/>
    <w:rsid w:val="3F8FAA17"/>
    <w:rsid w:val="3FB2F036"/>
    <w:rsid w:val="40047020"/>
    <w:rsid w:val="4031694B"/>
    <w:rsid w:val="4064A65B"/>
    <w:rsid w:val="40EAA07A"/>
    <w:rsid w:val="413EC61F"/>
    <w:rsid w:val="42154614"/>
    <w:rsid w:val="422E33AB"/>
    <w:rsid w:val="42700A69"/>
    <w:rsid w:val="42F13AF8"/>
    <w:rsid w:val="437D68E8"/>
    <w:rsid w:val="438BFCD2"/>
    <w:rsid w:val="43D9C064"/>
    <w:rsid w:val="440BDACA"/>
    <w:rsid w:val="449833A8"/>
    <w:rsid w:val="449EDC6F"/>
    <w:rsid w:val="45A7AB2B"/>
    <w:rsid w:val="46123742"/>
    <w:rsid w:val="46E4228E"/>
    <w:rsid w:val="4700A5F4"/>
    <w:rsid w:val="4707D3EB"/>
    <w:rsid w:val="472C9E24"/>
    <w:rsid w:val="47546090"/>
    <w:rsid w:val="4762B0ED"/>
    <w:rsid w:val="47A49623"/>
    <w:rsid w:val="4880A82B"/>
    <w:rsid w:val="489B71AA"/>
    <w:rsid w:val="4903FA2E"/>
    <w:rsid w:val="4949D804"/>
    <w:rsid w:val="4A50017E"/>
    <w:rsid w:val="4AB00756"/>
    <w:rsid w:val="4BE2E2CD"/>
    <w:rsid w:val="4C43CA06"/>
    <w:rsid w:val="4CEF8955"/>
    <w:rsid w:val="4D0373A8"/>
    <w:rsid w:val="4D71AEE9"/>
    <w:rsid w:val="4D8AA4A5"/>
    <w:rsid w:val="4E1D16B2"/>
    <w:rsid w:val="4E2BA84F"/>
    <w:rsid w:val="4EF6BFDE"/>
    <w:rsid w:val="4F6058B6"/>
    <w:rsid w:val="4F642524"/>
    <w:rsid w:val="4F6FF8AB"/>
    <w:rsid w:val="4FA874BB"/>
    <w:rsid w:val="4FBBFC85"/>
    <w:rsid w:val="4FC69B81"/>
    <w:rsid w:val="4FCEE43C"/>
    <w:rsid w:val="5032EF39"/>
    <w:rsid w:val="505FB52E"/>
    <w:rsid w:val="5078DD8B"/>
    <w:rsid w:val="50ACDC7B"/>
    <w:rsid w:val="51059C49"/>
    <w:rsid w:val="51570389"/>
    <w:rsid w:val="51594A9F"/>
    <w:rsid w:val="51FB858F"/>
    <w:rsid w:val="526BEC2F"/>
    <w:rsid w:val="5282ED53"/>
    <w:rsid w:val="5379F7EE"/>
    <w:rsid w:val="5486097E"/>
    <w:rsid w:val="555156E3"/>
    <w:rsid w:val="562A74AC"/>
    <w:rsid w:val="569B2293"/>
    <w:rsid w:val="56B09FDE"/>
    <w:rsid w:val="56CEF6B2"/>
    <w:rsid w:val="56E1AEE4"/>
    <w:rsid w:val="5863B5F0"/>
    <w:rsid w:val="5891F492"/>
    <w:rsid w:val="58F79FAC"/>
    <w:rsid w:val="5941986B"/>
    <w:rsid w:val="59A3CDC1"/>
    <w:rsid w:val="59E5F482"/>
    <w:rsid w:val="59F93B7B"/>
    <w:rsid w:val="5A39D4A0"/>
    <w:rsid w:val="5ADB2759"/>
    <w:rsid w:val="5B42BEE7"/>
    <w:rsid w:val="5B440BF8"/>
    <w:rsid w:val="5B919DA6"/>
    <w:rsid w:val="5B9A9ABE"/>
    <w:rsid w:val="5BFFEF25"/>
    <w:rsid w:val="5C34FDFF"/>
    <w:rsid w:val="5C5262C9"/>
    <w:rsid w:val="5C63AFB7"/>
    <w:rsid w:val="5C8D8943"/>
    <w:rsid w:val="5CC4A6DE"/>
    <w:rsid w:val="5D0D70DB"/>
    <w:rsid w:val="5D52CECB"/>
    <w:rsid w:val="5D584D05"/>
    <w:rsid w:val="5D66A696"/>
    <w:rsid w:val="5D903458"/>
    <w:rsid w:val="5DA4E0F4"/>
    <w:rsid w:val="5DFA4195"/>
    <w:rsid w:val="5E15098E"/>
    <w:rsid w:val="5E4D7E67"/>
    <w:rsid w:val="5E4E831D"/>
    <w:rsid w:val="5EA98FB0"/>
    <w:rsid w:val="5EDA0897"/>
    <w:rsid w:val="5EF31E7D"/>
    <w:rsid w:val="5F3EC072"/>
    <w:rsid w:val="5F567A44"/>
    <w:rsid w:val="5F6529EE"/>
    <w:rsid w:val="5FCFB824"/>
    <w:rsid w:val="6099E427"/>
    <w:rsid w:val="60A0E4D3"/>
    <w:rsid w:val="60CDF758"/>
    <w:rsid w:val="61086F22"/>
    <w:rsid w:val="6118247D"/>
    <w:rsid w:val="614A1B15"/>
    <w:rsid w:val="616CB8AE"/>
    <w:rsid w:val="621996DF"/>
    <w:rsid w:val="62BF7DFA"/>
    <w:rsid w:val="63FB1BD9"/>
    <w:rsid w:val="64523627"/>
    <w:rsid w:val="647DD1ED"/>
    <w:rsid w:val="6521B42B"/>
    <w:rsid w:val="65349488"/>
    <w:rsid w:val="658C963C"/>
    <w:rsid w:val="659AD21E"/>
    <w:rsid w:val="6631A4B5"/>
    <w:rsid w:val="664F10C6"/>
    <w:rsid w:val="66670F97"/>
    <w:rsid w:val="66D5CC3F"/>
    <w:rsid w:val="67F42575"/>
    <w:rsid w:val="6855379B"/>
    <w:rsid w:val="68F1F431"/>
    <w:rsid w:val="6950416F"/>
    <w:rsid w:val="69AF5EE0"/>
    <w:rsid w:val="69F266E0"/>
    <w:rsid w:val="69F3043A"/>
    <w:rsid w:val="6A688A95"/>
    <w:rsid w:val="6AC28920"/>
    <w:rsid w:val="6B06A96F"/>
    <w:rsid w:val="6B1405F8"/>
    <w:rsid w:val="6B319888"/>
    <w:rsid w:val="6BF0EB45"/>
    <w:rsid w:val="6C5E5981"/>
    <w:rsid w:val="6C791F87"/>
    <w:rsid w:val="6D056516"/>
    <w:rsid w:val="6D52B9E1"/>
    <w:rsid w:val="6E20B800"/>
    <w:rsid w:val="6E41AEC8"/>
    <w:rsid w:val="6EEC8972"/>
    <w:rsid w:val="6F83BB99"/>
    <w:rsid w:val="6F899D82"/>
    <w:rsid w:val="70482E1B"/>
    <w:rsid w:val="70599A9E"/>
    <w:rsid w:val="70C07684"/>
    <w:rsid w:val="70C21552"/>
    <w:rsid w:val="710ED09F"/>
    <w:rsid w:val="71F4C719"/>
    <w:rsid w:val="72BF750F"/>
    <w:rsid w:val="73A2DABA"/>
    <w:rsid w:val="74075321"/>
    <w:rsid w:val="7408E2DE"/>
    <w:rsid w:val="741C27B6"/>
    <w:rsid w:val="7458CDFC"/>
    <w:rsid w:val="74631567"/>
    <w:rsid w:val="748E3C96"/>
    <w:rsid w:val="74E2F02B"/>
    <w:rsid w:val="75002C1D"/>
    <w:rsid w:val="758B02FB"/>
    <w:rsid w:val="75A4B33F"/>
    <w:rsid w:val="766E076B"/>
    <w:rsid w:val="77080822"/>
    <w:rsid w:val="77279213"/>
    <w:rsid w:val="772A666A"/>
    <w:rsid w:val="775B4A2C"/>
    <w:rsid w:val="775D8BF4"/>
    <w:rsid w:val="77BD7FCA"/>
    <w:rsid w:val="78433C93"/>
    <w:rsid w:val="79425610"/>
    <w:rsid w:val="797FA0DF"/>
    <w:rsid w:val="799ACD04"/>
    <w:rsid w:val="7A70484D"/>
    <w:rsid w:val="7A96372B"/>
    <w:rsid w:val="7AE7C271"/>
    <w:rsid w:val="7B20B2B0"/>
    <w:rsid w:val="7B878C22"/>
    <w:rsid w:val="7B9C2E0C"/>
    <w:rsid w:val="7BB25ABA"/>
    <w:rsid w:val="7BE2F78D"/>
    <w:rsid w:val="7C491644"/>
    <w:rsid w:val="7C5BDF70"/>
    <w:rsid w:val="7C5CB8DC"/>
    <w:rsid w:val="7C6680B8"/>
    <w:rsid w:val="7C7FE70F"/>
    <w:rsid w:val="7CB13785"/>
    <w:rsid w:val="7D57387B"/>
    <w:rsid w:val="7D5EA1C8"/>
    <w:rsid w:val="7DAACCF6"/>
    <w:rsid w:val="7E147CCF"/>
    <w:rsid w:val="7E5408B5"/>
    <w:rsid w:val="7E60CB8C"/>
    <w:rsid w:val="7E795E9F"/>
    <w:rsid w:val="7F1B7889"/>
    <w:rsid w:val="7F984DB8"/>
    <w:rsid w:val="7FD185D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20A712"/>
  <w15:docId w15:val="{5CE72878-6D81-4B18-9CFA-DCE99839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D0916"/>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7D0916"/>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7D0916"/>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D091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7D0916"/>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7D0916"/>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7D0916"/>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7D0916"/>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7D0916"/>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33F1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33F10"/>
  </w:style>
  <w:style w:type="paragraph" w:styleId="Piedepgina">
    <w:name w:val="footer"/>
    <w:basedOn w:val="Normal"/>
    <w:link w:val="PiedepginaCar"/>
    <w:uiPriority w:val="99"/>
    <w:unhideWhenUsed/>
    <w:rsid w:val="00933F1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33F10"/>
  </w:style>
  <w:style w:type="table" w:styleId="Tablaconcuadrcula">
    <w:name w:val="Table Grid"/>
    <w:basedOn w:val="Tablanormal"/>
    <w:uiPriority w:val="39"/>
    <w:rsid w:val="00933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5928BE"/>
    <w:pPr>
      <w:ind w:left="720"/>
      <w:contextualSpacing/>
    </w:pPr>
  </w:style>
  <w:style w:type="paragraph" w:styleId="Textodeglobo">
    <w:name w:val="Balloon Text"/>
    <w:basedOn w:val="Normal"/>
    <w:link w:val="TextodegloboCar"/>
    <w:uiPriority w:val="99"/>
    <w:semiHidden/>
    <w:unhideWhenUsed/>
    <w:rsid w:val="003E73EA"/>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3E73EA"/>
    <w:rPr>
      <w:rFonts w:ascii="Lucida Grande" w:hAnsi="Lucida Grande" w:cs="Lucida Grande"/>
      <w:sz w:val="18"/>
      <w:szCs w:val="18"/>
    </w:rPr>
  </w:style>
  <w:style w:type="table" w:customStyle="1" w:styleId="Tablanormal21">
    <w:name w:val="Tabla normal 21"/>
    <w:basedOn w:val="Tablanormal"/>
    <w:uiPriority w:val="42"/>
    <w:rsid w:val="00C43A84"/>
    <w:pPr>
      <w:autoSpaceDN w:val="0"/>
      <w:spacing w:after="0" w:line="240" w:lineRule="auto"/>
      <w:textAlignment w:val="baseline"/>
    </w:pPr>
    <w:rPr>
      <w:rFonts w:ascii="Calibri" w:eastAsia="Calibri" w:hAnsi="Calibri" w:cs="Times New Roman"/>
      <w:kern w:val="0"/>
      <w:lang w:val="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inespaciado">
    <w:name w:val="No Spacing"/>
    <w:uiPriority w:val="1"/>
    <w:qFormat/>
    <w:rsid w:val="00FA0FEB"/>
    <w:pPr>
      <w:spacing w:after="0" w:line="240" w:lineRule="auto"/>
    </w:pPr>
  </w:style>
  <w:style w:type="character" w:styleId="Textoennegrita">
    <w:name w:val="Strong"/>
    <w:basedOn w:val="Fuentedeprrafopredeter"/>
    <w:uiPriority w:val="22"/>
    <w:qFormat/>
    <w:rsid w:val="0036381D"/>
    <w:rPr>
      <w:b/>
      <w:bCs/>
    </w:rPr>
  </w:style>
  <w:style w:type="character" w:styleId="Hipervnculo">
    <w:name w:val="Hyperlink"/>
    <w:basedOn w:val="Fuentedeprrafopredeter"/>
    <w:uiPriority w:val="99"/>
    <w:unhideWhenUsed/>
    <w:rsid w:val="00FD133B"/>
    <w:rPr>
      <w:color w:val="0563C1" w:themeColor="hyperlink"/>
      <w:u w:val="single"/>
    </w:rPr>
  </w:style>
  <w:style w:type="character" w:customStyle="1" w:styleId="UnresolvedMention">
    <w:name w:val="Unresolved Mention"/>
    <w:basedOn w:val="Fuentedeprrafopredeter"/>
    <w:uiPriority w:val="99"/>
    <w:semiHidden/>
    <w:unhideWhenUsed/>
    <w:rsid w:val="00FD133B"/>
    <w:rPr>
      <w:color w:val="605E5C"/>
      <w:shd w:val="clear" w:color="auto" w:fill="E1DFDD"/>
    </w:rPr>
  </w:style>
  <w:style w:type="paragraph" w:customStyle="1" w:styleId="Default">
    <w:name w:val="Default"/>
    <w:rsid w:val="00970F63"/>
    <w:pPr>
      <w:autoSpaceDE w:val="0"/>
      <w:autoSpaceDN w:val="0"/>
      <w:adjustRightInd w:val="0"/>
      <w:spacing w:after="0" w:line="240" w:lineRule="auto"/>
    </w:pPr>
    <w:rPr>
      <w:rFonts w:ascii="Calibri" w:hAnsi="Calibri" w:cs="Calibri"/>
      <w:color w:val="000000"/>
      <w:kern w:val="0"/>
      <w:sz w:val="24"/>
      <w:szCs w:val="24"/>
      <w:lang w:val="en-US"/>
    </w:rPr>
  </w:style>
  <w:style w:type="paragraph" w:styleId="Revisin">
    <w:name w:val="Revision"/>
    <w:hidden/>
    <w:uiPriority w:val="99"/>
    <w:semiHidden/>
    <w:rsid w:val="008A21E1"/>
    <w:pPr>
      <w:spacing w:after="0" w:line="240" w:lineRule="auto"/>
    </w:pPr>
  </w:style>
  <w:style w:type="paragraph" w:styleId="Textocomentario">
    <w:name w:val="annotation text"/>
    <w:basedOn w:val="Normal"/>
    <w:link w:val="TextocomentarioCar"/>
    <w:uiPriority w:val="99"/>
    <w:unhideWhenUsed/>
    <w:rsid w:val="00515FF5"/>
    <w:pPr>
      <w:spacing w:line="240" w:lineRule="auto"/>
    </w:pPr>
    <w:rPr>
      <w:sz w:val="20"/>
      <w:szCs w:val="20"/>
    </w:rPr>
  </w:style>
  <w:style w:type="character" w:customStyle="1" w:styleId="TextocomentarioCar">
    <w:name w:val="Texto comentario Car"/>
    <w:basedOn w:val="Fuentedeprrafopredeter"/>
    <w:link w:val="Textocomentario"/>
    <w:uiPriority w:val="99"/>
    <w:rsid w:val="00515FF5"/>
    <w:rPr>
      <w:sz w:val="20"/>
      <w:szCs w:val="20"/>
    </w:rPr>
  </w:style>
  <w:style w:type="character" w:styleId="Refdecomentario">
    <w:name w:val="annotation reference"/>
    <w:basedOn w:val="Fuentedeprrafopredeter"/>
    <w:uiPriority w:val="99"/>
    <w:semiHidden/>
    <w:unhideWhenUsed/>
    <w:rsid w:val="00515FF5"/>
    <w:rPr>
      <w:sz w:val="16"/>
      <w:szCs w:val="16"/>
    </w:rPr>
  </w:style>
  <w:style w:type="paragraph" w:styleId="Asuntodelcomentario">
    <w:name w:val="annotation subject"/>
    <w:basedOn w:val="Textocomentario"/>
    <w:next w:val="Textocomentario"/>
    <w:link w:val="AsuntodelcomentarioCar"/>
    <w:uiPriority w:val="99"/>
    <w:semiHidden/>
    <w:unhideWhenUsed/>
    <w:rsid w:val="00E278A7"/>
    <w:rPr>
      <w:b/>
      <w:bCs/>
    </w:rPr>
  </w:style>
  <w:style w:type="character" w:customStyle="1" w:styleId="AsuntodelcomentarioCar">
    <w:name w:val="Asunto del comentario Car"/>
    <w:basedOn w:val="TextocomentarioCar"/>
    <w:link w:val="Asuntodelcomentario"/>
    <w:uiPriority w:val="99"/>
    <w:semiHidden/>
    <w:rsid w:val="00E278A7"/>
    <w:rPr>
      <w:b/>
      <w:bCs/>
      <w:sz w:val="20"/>
      <w:szCs w:val="20"/>
    </w:rPr>
  </w:style>
  <w:style w:type="character" w:customStyle="1" w:styleId="normaltextrun">
    <w:name w:val="normaltextrun"/>
    <w:basedOn w:val="Fuentedeprrafopredeter"/>
    <w:rsid w:val="00781FBF"/>
  </w:style>
  <w:style w:type="character" w:customStyle="1" w:styleId="Ttulo1Car">
    <w:name w:val="Título 1 Car"/>
    <w:basedOn w:val="Fuentedeprrafopredeter"/>
    <w:link w:val="Ttulo1"/>
    <w:uiPriority w:val="9"/>
    <w:rsid w:val="007D0916"/>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7D0916"/>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7D0916"/>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D0916"/>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7D0916"/>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7D0916"/>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7D0916"/>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7D0916"/>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7D0916"/>
    <w:rPr>
      <w:rFonts w:asciiTheme="majorHAnsi" w:eastAsiaTheme="majorEastAsia" w:hAnsiTheme="majorHAnsi" w:cstheme="majorBidi"/>
      <w:i/>
      <w:iCs/>
      <w:color w:val="272727" w:themeColor="text1" w:themeTint="D8"/>
      <w:sz w:val="21"/>
      <w:szCs w:val="21"/>
    </w:rPr>
  </w:style>
  <w:style w:type="paragraph" w:styleId="TtuloTDC">
    <w:name w:val="TOC Heading"/>
    <w:basedOn w:val="Ttulo1"/>
    <w:next w:val="Normal"/>
    <w:uiPriority w:val="39"/>
    <w:unhideWhenUsed/>
    <w:qFormat/>
    <w:rsid w:val="00395F09"/>
    <w:pPr>
      <w:numPr>
        <w:numId w:val="0"/>
      </w:numPr>
      <w:outlineLvl w:val="9"/>
    </w:pPr>
    <w:rPr>
      <w:kern w:val="0"/>
      <w:lang w:eastAsia="es-CO"/>
      <w14:ligatures w14:val="none"/>
    </w:rPr>
  </w:style>
  <w:style w:type="paragraph" w:styleId="TDC1">
    <w:name w:val="toc 1"/>
    <w:basedOn w:val="Normal"/>
    <w:next w:val="Normal"/>
    <w:autoRedefine/>
    <w:uiPriority w:val="39"/>
    <w:unhideWhenUsed/>
    <w:rsid w:val="00395F09"/>
    <w:pPr>
      <w:spacing w:after="100"/>
    </w:pPr>
  </w:style>
  <w:style w:type="paragraph" w:styleId="TDC2">
    <w:name w:val="toc 2"/>
    <w:basedOn w:val="Normal"/>
    <w:next w:val="Normal"/>
    <w:autoRedefine/>
    <w:uiPriority w:val="39"/>
    <w:unhideWhenUsed/>
    <w:rsid w:val="00395F09"/>
    <w:pPr>
      <w:spacing w:after="100"/>
      <w:ind w:left="220"/>
    </w:pPr>
  </w:style>
  <w:style w:type="paragraph" w:styleId="TDC3">
    <w:name w:val="toc 3"/>
    <w:basedOn w:val="Normal"/>
    <w:next w:val="Normal"/>
    <w:autoRedefine/>
    <w:uiPriority w:val="39"/>
    <w:unhideWhenUsed/>
    <w:rsid w:val="00395F0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709666">
      <w:bodyDiv w:val="1"/>
      <w:marLeft w:val="0"/>
      <w:marRight w:val="0"/>
      <w:marTop w:val="0"/>
      <w:marBottom w:val="0"/>
      <w:divBdr>
        <w:top w:val="none" w:sz="0" w:space="0" w:color="auto"/>
        <w:left w:val="none" w:sz="0" w:space="0" w:color="auto"/>
        <w:bottom w:val="none" w:sz="0" w:space="0" w:color="auto"/>
        <w:right w:val="none" w:sz="0" w:space="0" w:color="auto"/>
      </w:divBdr>
    </w:div>
    <w:div w:id="305089174">
      <w:bodyDiv w:val="1"/>
      <w:marLeft w:val="0"/>
      <w:marRight w:val="0"/>
      <w:marTop w:val="0"/>
      <w:marBottom w:val="0"/>
      <w:divBdr>
        <w:top w:val="none" w:sz="0" w:space="0" w:color="auto"/>
        <w:left w:val="none" w:sz="0" w:space="0" w:color="auto"/>
        <w:bottom w:val="none" w:sz="0" w:space="0" w:color="auto"/>
        <w:right w:val="none" w:sz="0" w:space="0" w:color="auto"/>
      </w:divBdr>
    </w:div>
    <w:div w:id="666516734">
      <w:bodyDiv w:val="1"/>
      <w:marLeft w:val="0"/>
      <w:marRight w:val="0"/>
      <w:marTop w:val="0"/>
      <w:marBottom w:val="0"/>
      <w:divBdr>
        <w:top w:val="none" w:sz="0" w:space="0" w:color="auto"/>
        <w:left w:val="none" w:sz="0" w:space="0" w:color="auto"/>
        <w:bottom w:val="none" w:sz="0" w:space="0" w:color="auto"/>
        <w:right w:val="none" w:sz="0" w:space="0" w:color="auto"/>
      </w:divBdr>
    </w:div>
    <w:div w:id="1435713994">
      <w:bodyDiv w:val="1"/>
      <w:marLeft w:val="0"/>
      <w:marRight w:val="0"/>
      <w:marTop w:val="0"/>
      <w:marBottom w:val="0"/>
      <w:divBdr>
        <w:top w:val="none" w:sz="0" w:space="0" w:color="auto"/>
        <w:left w:val="none" w:sz="0" w:space="0" w:color="auto"/>
        <w:bottom w:val="none" w:sz="0" w:space="0" w:color="auto"/>
        <w:right w:val="none" w:sz="0" w:space="0" w:color="auto"/>
      </w:divBdr>
    </w:div>
    <w:div w:id="1864976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35AAE656B1F7E4BAB537DB1AFE5CBFC" ma:contentTypeVersion="15" ma:contentTypeDescription="Crear nuevo documento." ma:contentTypeScope="" ma:versionID="2c219a2ad966993603f6dee557fa98be">
  <xsd:schema xmlns:xsd="http://www.w3.org/2001/XMLSchema" xmlns:xs="http://www.w3.org/2001/XMLSchema" xmlns:p="http://schemas.microsoft.com/office/2006/metadata/properties" xmlns:ns2="e237310e-65a3-4229-8d86-48a79d5c0ade" xmlns:ns3="d0f613f1-c13c-4780-b816-5087fcb8806d" targetNamespace="http://schemas.microsoft.com/office/2006/metadata/properties" ma:root="true" ma:fieldsID="9add95b11691a4f76d0739772904255e" ns2:_="" ns3:_="">
    <xsd:import namespace="e237310e-65a3-4229-8d86-48a79d5c0ade"/>
    <xsd:import namespace="d0f613f1-c13c-4780-b816-5087fcb880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7310e-65a3-4229-8d86-48a79d5c0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f613f1-c13c-4780-b816-5087fcb8806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efcf4e0e-ad3e-41a3-914c-6bf34843f984}" ma:internalName="TaxCatchAll" ma:showField="CatchAllData" ma:web="d0f613f1-c13c-4780-b816-5087fcb880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0f613f1-c13c-4780-b816-5087fcb8806d" xsi:nil="true"/>
    <lcf76f155ced4ddcb4097134ff3c332f xmlns="e237310e-65a3-4229-8d86-48a79d5c0ad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74186-3EF5-411F-A254-EFC3D5383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7310e-65a3-4229-8d86-48a79d5c0ade"/>
    <ds:schemaRef ds:uri="d0f613f1-c13c-4780-b816-5087fcb88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A4453-6EB5-4491-A720-383B49D9A16E}">
  <ds:schemaRefs>
    <ds:schemaRef ds:uri="http://schemas.microsoft.com/office/2006/metadata/properties"/>
    <ds:schemaRef ds:uri="http://schemas.microsoft.com/office/infopath/2007/PartnerControls"/>
    <ds:schemaRef ds:uri="d0f613f1-c13c-4780-b816-5087fcb8806d"/>
    <ds:schemaRef ds:uri="e237310e-65a3-4229-8d86-48a79d5c0ade"/>
  </ds:schemaRefs>
</ds:datastoreItem>
</file>

<file path=customXml/itemProps3.xml><?xml version="1.0" encoding="utf-8"?>
<ds:datastoreItem xmlns:ds="http://schemas.openxmlformats.org/officeDocument/2006/customXml" ds:itemID="{13CACEA7-B352-41FA-AAE0-15351F165B6B}">
  <ds:schemaRefs>
    <ds:schemaRef ds:uri="http://schemas.microsoft.com/sharepoint/v3/contenttype/forms"/>
  </ds:schemaRefs>
</ds:datastoreItem>
</file>

<file path=customXml/itemProps4.xml><?xml version="1.0" encoding="utf-8"?>
<ds:datastoreItem xmlns:ds="http://schemas.openxmlformats.org/officeDocument/2006/customXml" ds:itemID="{F4CC77A1-C598-4772-8B4E-8C0E4FACA4A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Template>
  <TotalTime>590</TotalTime>
  <Pages>9</Pages>
  <Words>3754</Words>
  <Characters>21402</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Efrain Meneses</dc:creator>
  <cp:keywords/>
  <dc:description/>
  <cp:lastModifiedBy>Natacha Karyn Dworaczek Conde</cp:lastModifiedBy>
  <cp:revision>24</cp:revision>
  <cp:lastPrinted>2023-08-29T04:15:00Z</cp:lastPrinted>
  <dcterms:created xsi:type="dcterms:W3CDTF">2024-11-21T13:31:00Z</dcterms:created>
  <dcterms:modified xsi:type="dcterms:W3CDTF">2024-11-22T02:01:00Z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0x010100D35AAE656B1F7E4BAB537DB1AFE5CBFC</vt:lpwstr>
  </property>
  <property fmtid="{D5CDD505-2E9C-101B-9397-08002B2CF9AE}" pid="3" name="MediaServiceImageTags">
    <vt:lpwstr/>
  </property>
</Properties>
</file>